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26-88-93-18</w:t>
      </w:r>
    </w:p>
    <w:p>
      <w:r>
        <w:rPr>
          <w:b w:val="0"/>
          <w:i w:val="0"/>
          <w:color w:val="64748B"/>
          <w:sz w:val="18"/>
        </w:rPr>
        <w:t>Enquêteur : EQ25_enq2_v2 (ABDOULAYE DIONE)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26-88-93-18</w:t>
            </w:r>
          </w:p>
        </w:tc>
        <w:tc>
          <w:tcPr>
            <w:tcW w:type="dxa" w:w="3551"/>
            <w:shd w:fill="F8FAFC"/>
          </w:tcPr>
          <w:p>
            <w:r>
              <w:rPr>
                <w:b w:val="0"/>
                <w:i w:val="0"/>
                <w:color w:val="64748B"/>
                <w:sz w:val="14"/>
              </w:rPr>
              <w:t>CHEF DE MÉNAGE</w:t>
              <w:br/>
            </w:r>
            <w:r>
              <w:rPr>
                <w:b/>
                <w:i w:val="0"/>
                <w:sz w:val="18"/>
              </w:rPr>
              <w:t>MAMADOU SAMB</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2026-05-20T09:48:36</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Ndoumbé Ngom, les agriculteurs dont leurs cultures est principalement destiné à la consommation du ménage sont des (Agriculteurs, subsistances) et ceux qui le font avec l'élevage sont des (Agriculteurs et eleveurs, subsistances)Nombre de mois exercé  (3 mois) par Ndoumbé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Mamadou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Mamadou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Mamadou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Birane Samb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Samb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au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Charrettier n'a pas fonctionné tout le temps au cours des 12 derniers mois est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type de sanitaire que le ménage utilise est toillette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Birane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(5.25 litre) du produit Huile de soja consommée  par le ménage semble très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12:45:28] </w:t>
      </w:r>
      <w:r>
        <w:rPr>
          <w:b/>
          <w:i w:val="0"/>
          <w:color w:val="1F6FEB"/>
          <w:sz w:val="16"/>
        </w:rPr>
        <w:t xml:space="preserve">EQ25_sup_v2 </w:t>
      </w:r>
      <w:r>
        <w:rPr>
          <w:b w:val="0"/>
          <w:i w:val="0"/>
          <w:color w:val="64748B"/>
          <w:sz w:val="16"/>
        </w:rPr>
        <w:t xml:space="preserve">sur @@RejectedBySupervisor : </w:t>
      </w:r>
      <w:r>
        <w:rPr>
          <w:b w:val="0"/>
          <w:i w:val="0"/>
          <w:sz w:val="17"/>
        </w:rPr>
        <w:t>Section 10 type de local cest embarcation. Materiel roulant cest oui la charette 10.43 cest nonconcerne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