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46-90-81-95</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46-90-81-95</w:t>
            </w:r>
          </w:p>
        </w:tc>
        <w:tc>
          <w:tcPr>
            <w:tcW w:type="dxa" w:w="3551"/>
            <w:shd w:fill="F8FAFC"/>
          </w:tcPr>
          <w:p>
            <w:r>
              <w:rPr>
                <w:b w:val="0"/>
                <w:i w:val="0"/>
                <w:color w:val="64748B"/>
                <w:sz w:val="14"/>
              </w:rPr>
              <w:t>CHEF DE MÉNAGE</w:t>
              <w:br/>
            </w:r>
            <w:r>
              <w:rPr>
                <w:b/>
                <w:i w:val="0"/>
                <w:sz w:val="18"/>
              </w:rPr>
              <w:t>AMADOU SARR</w:t>
            </w:r>
          </w:p>
        </w:tc>
      </w:tr>
      <w:tr>
        <w:tc>
          <w:tcPr>
            <w:tcW w:type="dxa" w:w="3551"/>
            <w:shd w:fill="F8FAFC"/>
          </w:tcPr>
          <w:p>
            <w:r>
              <w:rPr>
                <w:b w:val="0"/>
                <w:i w:val="0"/>
                <w:color w:val="64748B"/>
                <w:sz w:val="14"/>
              </w:rPr>
              <w:t>TÉLÉPHONE CM</w:t>
              <w:br/>
            </w:r>
            <w:r>
              <w:rPr>
                <w:b/>
                <w:i w:val="0"/>
                <w:sz w:val="18"/>
              </w:rPr>
              <w:t>76 548 08 36</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2026-06-09T11:39:20</w:t>
            </w:r>
          </w:p>
        </w:tc>
      </w:tr>
    </w:tbl>
    <w:p/>
    <w:p>
      <w:r>
        <w:rPr>
          <w:b/>
          <w:i w:val="0"/>
          <w:color w:val="1F6FEB"/>
          <w:sz w:val="22"/>
        </w:rPr>
        <w:t>⚠ INCOHÉRENCES À CORRIGER (18)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sarr (13850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SARR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s01q35, s01q36, s01q37, s02q04, s02q15, s03q13, s03q14, s03q15</w:t>
            </w:r>
          </w:p>
        </w:tc>
        <w:tc>
          <w:tcPr>
            <w:tcW w:type="dxa" w:w="5896"/>
          </w:tcPr>
          <w:p>
            <w:r>
              <w:rPr>
                <w:b w:val="0"/>
                <w:i w:val="0"/>
                <w:sz w:val="17"/>
              </w:rPr>
              <w:t>Le montant mensuel du loyer (15 FCFA) avec comme type de logement (Maison Basse) est trop faible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AMADOU SARR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amadou sarr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AMADOU SARR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