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(BINETOU MBAYE)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AICHA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THIERNO BA) , prière de renseigner toutes les questions liées à  THIERNO BA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FATOUMATA BINTA BA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ABDOU SALAME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YORA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AICHA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La première personne ( THIERNO BA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Erreur : Le premier sur la liste du ménage devrait être le CM. Veuillez vous en conformer.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(270000 FCFA) pour l'année scolaire de AMADOU BA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(270000 FCFA) pour l'année scolaire de MOUSSA BA qui fréquente 2ème année de Maternelle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THIERNO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FATOUMATA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YORA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SALAME BA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YORA BA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Thierno Ba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(15000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(29500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(19000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(290000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Ba (6500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MOUSSA BA qui fréquente 2ème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(n°5) — Dépense d'éducation de 726 500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Thierno Ba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