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(Fatou gnongue Faye)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MA GOR KANDJI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MA GOR KANDJI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BAYE MA GOR KANDJI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MA GOR KANDJI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MA GOR KANDJI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BAYE MA GOR KANDJI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ARAME SARR MBENGUE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MA GOR KANDJI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ARAME SARR MBENGUE est venu vivre dans cette localité est construction de sa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MATAR KANDJI est venu vivre dans cette localité est contruction de sa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BAYE MA GOR KANDJI qui fréquente 2ème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ARAME SARR MBENGUE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MATAR KANDJI n'a pas été à l'école entre 2024/2025 est il n a plus la force de travaillè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ARAME SARR MBENGUE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BAYE MA GOR KANDJI , prière de renseignés toutes les questions liées à ( BAYE MA GOR KANDJI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s05q11, s04q19</w:t>
            </w:r>
          </w:p>
        </w:tc>
        <w:tc>
          <w:tcPr>
            <w:tcW w:type="dxa" w:w="5896"/>
          </w:tcPr>
          <w:p>
            <w:r>
              <w:rPr>
                <w:b w:val="0"/>
                <w:i w:val="0"/>
                <w:sz w:val="17"/>
              </w:rPr>
              <w:t>Erreur! Un membre subvient à ses besoins par une loyer/rentes (s04q19 == 2), sans déclarer des revenus mobiliers et financiers (s05q11)</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MATAR KANDJI (20500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KANDJI (12500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BAYE MA GOR KANDJI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