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EQ5_enq1_v2 (BINETOU MBAYE)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BONDJI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AMADOU LAMINE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AMADOU LAMINE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BABACAR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BABACAR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SIDY NDIAYE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SIDY NDIAYE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MAME AMADOU LAMINE THIAW frequente actuellement 2ème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BONDJI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AMADOU LAMINE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BABACAR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SIDY NDIAYE THIAW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s00q14, s00q16, s00q18, s01q39, s01q42__1, s01q42__2, s02q30, s02q34</w:t>
            </w:r>
          </w:p>
        </w:tc>
        <w:tc>
          <w:tcPr>
            <w:tcW w:type="dxa" w:w="5896"/>
          </w:tcPr>
          <w:p>
            <w:r>
              <w:rPr>
                <w:b w:val="0"/>
                <w:i w:val="0"/>
                <w:sz w:val="17"/>
              </w:rPr>
              <w:t>Le nombre d'échéances de rembourcement restant de BADA THIAW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SIDY NDIAYE THIAW (14600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BADA THIAW avec une taille de 7 personnes a consommé .35 Kg en taille unique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BADA THIAW avec une taille de 7 personnes a consommé .02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BADA THIAW (29000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(200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femmes qui font la lessive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(1300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(220000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BADA THIAW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