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OMAR BARRY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OMAR BARRY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OMAR BARRY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MAMADOU LAMINE BADIANE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OMAR BARRY (15900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BARRY (5000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BARRY (15000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CONDUCTEUR DE TAXI BAGAGES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s02q20, s04q35b, s06q01__1, s11q31__7, s11q31_autre</w:t>
            </w:r>
          </w:p>
        </w:tc>
        <w:tc>
          <w:tcPr>
            <w:tcW w:type="dxa" w:w="5896"/>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raison principale de la non mesure de la parcelle PARCELLE OSEILLE est CETTE PRODUCTION A ÉTAIT FAIT SUR LA MÊME PARCELLE QUE CELLE DE L’OSEILLE.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APRÈS LA PRODUCTION DE L’AOSEILLE IL CULTIVE DU PIMENT SUR LA MÊME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OSEILLE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OSEILLE selon les mesures GPS est de 80.45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(9000 Litre) de Autres produits phytosanitaires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