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collectés (dont 1252 valides) par 35 équipes (135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1252 / 4212 ménages valides (29.7 %)  ·  117 / 351 DR couverts (33.3 %).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56,3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78,6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4,9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60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43,8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2026-07-07 11:06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