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sur 133 DR couverts par 35 équipes (135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30,8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44,9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56,9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74,5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2026-06-24 22:52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