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Karo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wade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Amsatou wade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Amsatou wade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Karo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wade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Karo wade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ADAMA CISSE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CISSE, prière de reprendre la section agriculture du ménage ADAMA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s18aq22a</w:t>
            </w:r>
          </w:p>
        </w:tc>
        <w:tc>
          <w:tcPr>
            <w:tcW w:type="dxa" w:w="6520"/>
          </w:tcPr>
          <w:p>
            <w:r>
              <w:rPr>
                <w:b w:val="0"/>
                <w:i w:val="0"/>
                <w:sz w:val="17"/>
              </w:rPr>
              <w:t>Erreur : la quantité consommée de %rostertitle%  dépasse la quantité capturée.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s18aq22b</w:t>
            </w:r>
          </w:p>
        </w:tc>
        <w:tc>
          <w:tcPr>
            <w:tcW w:type="dxa" w:w="6520"/>
          </w:tcPr>
          <w:p>
            <w:r>
              <w:rPr>
                <w:b w:val="0"/>
                <w:i w:val="0"/>
                <w:sz w:val="17"/>
              </w:rPr>
              <w:t>Erreur. La somme des quantités utilisées (consommées, donnée comme paiement)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s18aq22c</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s18aq22d</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