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26-88-93-18</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32202050007</w:t>
            </w:r>
          </w:p>
        </w:tc>
        <w:tc>
          <w:tcPr>
            <w:tcW w:type="dxa" w:w="3551"/>
            <w:shd w:fill="F8FAFC"/>
          </w:tcPr>
          <w:p>
            <w:r>
              <w:rPr>
                <w:b w:val="0"/>
                <w:i w:val="0"/>
                <w:color w:val="64748B"/>
                <w:sz w:val="14"/>
              </w:rPr>
              <w:t>MÉNAGE</w:t>
              <w:br/>
            </w:r>
            <w:r>
              <w:rPr>
                <w:b/>
                <w:i w:val="0"/>
                <w:color w:val="1F6FEB"/>
                <w:sz w:val="18"/>
              </w:rPr>
              <w:t>26-88-93-18</w:t>
            </w:r>
          </w:p>
        </w:tc>
        <w:tc>
          <w:tcPr>
            <w:tcW w:type="dxa" w:w="3551"/>
            <w:shd w:fill="F8FAFC"/>
          </w:tcPr>
          <w:p>
            <w:r>
              <w:rPr>
                <w:b w:val="0"/>
                <w:i w:val="0"/>
                <w:color w:val="64748B"/>
                <w:sz w:val="14"/>
              </w:rPr>
              <w:t>CHEF DE MÉNAGE</w:t>
              <w:br/>
            </w:r>
            <w:r>
              <w:rPr>
                <w:b/>
                <w:i w:val="0"/>
                <w:sz w:val="18"/>
              </w:rPr>
              <w:t>MAMADOU SAMB</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ngalagne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2026-05-20T09:48:36</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Ndoumbé Ngom, les agriculteurs dont leurs cultures est principalement destiné à la consommation du ménage sont des (Agriculteurs, subsistances) et ceux qui le font avec l'élevage sont des (Agriculteurs et eleveurs, subsistances)Nombre de mois exercé  (3 mois) par Ndoumbé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Samb,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Mamadou Samb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Mamadou Samb.</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Samb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Charrettier n'a pas fonctionné tout le temps au cours des 12 derniers mois est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(900 FCFA pour 3 Kilogramme) de Semences de petit mil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Birane Samb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[2026-06-02 12:45:28] </w:t>
      </w:r>
      <w:r>
        <w:rPr>
          <w:b/>
          <w:i w:val="0"/>
          <w:color w:val="1F6FEB"/>
          <w:sz w:val="16"/>
        </w:rPr>
        <w:t xml:space="preserve">EQ25_sup_v2 </w:t>
      </w:r>
      <w:r>
        <w:rPr>
          <w:b w:val="0"/>
          <w:i w:val="0"/>
          <w:color w:val="64748B"/>
          <w:sz w:val="16"/>
        </w:rPr>
        <w:t xml:space="preserve">sur @@RejectedBySupervisor : </w:t>
      </w:r>
      <w:r>
        <w:rPr>
          <w:b w:val="0"/>
          <w:i w:val="0"/>
          <w:sz w:val="17"/>
        </w:rPr>
        <w:t>Section 10 type de local cest embarcation. Materiel roulant cest oui la charette 10.43 cest nonconcerne</w:t>
      </w:r>
    </w:p>
    <w:p>
      <w:pPr>
        <w:pStyle w:val="ListBullet"/>
      </w:pPr>
      <w:r>
        <w:rPr>
          <w:b w:val="0"/>
          <w:i w:val="0"/>
          <w:color w:val="64748B"/>
          <w:sz w:val="16"/>
        </w:rPr>
        <w:t xml:space="preserve">[2026-06-15 14:23:16] </w:t>
      </w:r>
      <w:r>
        <w:rPr>
          <w:b/>
          <w:i w:val="0"/>
          <w:color w:val="1F6FEB"/>
          <w:sz w:val="16"/>
        </w:rPr>
        <w:t xml:space="preserve">EQ25_sup_v2 </w:t>
      </w:r>
      <w:r>
        <w:rPr>
          <w:b w:val="0"/>
          <w:i w:val="0"/>
          <w:color w:val="64748B"/>
          <w:sz w:val="16"/>
        </w:rPr>
        <w:t xml:space="preserve">sur @@RejectedBySupervisor : </w:t>
      </w:r>
      <w:r>
        <w:rPr>
          <w:b w:val="0"/>
          <w:i w:val="0"/>
          <w:sz w:val="17"/>
        </w:rPr>
        <w:t>Veuillez revoir la note de rejet</w:t>
      </w:r>
    </w:p>
    <w:p>
      <w:pPr>
        <w:pStyle w:val="ListBullet"/>
      </w:pPr>
      <w:r>
        <w:rPr>
          <w:b w:val="0"/>
          <w:i w:val="0"/>
          <w:color w:val="64748B"/>
          <w:sz w:val="16"/>
        </w:rPr>
        <w:t xml:space="preserve">[2026-06-20 15:03:50] </w:t>
      </w:r>
      <w:r>
        <w:rPr>
          <w:b/>
          <w:i w:val="0"/>
          <w:color w:val="1F6FEB"/>
          <w:sz w:val="16"/>
        </w:rPr>
        <w:t xml:space="preserve">EQ25_enq2_v2 </w:t>
      </w:r>
      <w:r>
        <w:rPr>
          <w:b w:val="0"/>
          <w:i w:val="0"/>
          <w:color w:val="64748B"/>
          <w:sz w:val="16"/>
        </w:rPr>
        <w:t xml:space="preserve">sur s19q09 : </w:t>
      </w:r>
      <w:r>
        <w:rPr>
          <w:b w:val="0"/>
          <w:i w:val="0"/>
          <w:sz w:val="17"/>
        </w:rPr>
        <w:t>en mauvais état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