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SARR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montant(35000 FCFA) des dépenses pour chaque visite prénatale de MBENE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214500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p>
      <w:pPr>
        <w:pStyle w:val="ListBullet"/>
      </w:pPr>
      <w:r>
        <w:rPr>
          <w:b w:val="0"/>
          <w:i w:val="0"/>
          <w:color w:val="64748B"/>
          <w:sz w:val="16"/>
        </w:rPr>
        <w:t xml:space="preserve">[2026-06-20 16:20:50] </w:t>
      </w:r>
      <w:r>
        <w:rPr>
          <w:b/>
          <w:i w:val="0"/>
          <w:color w:val="1F6FEB"/>
          <w:sz w:val="16"/>
        </w:rPr>
        <w:t xml:space="preserve">EQ25_enq1_v2 </w:t>
      </w:r>
      <w:r>
        <w:rPr>
          <w:b w:val="0"/>
          <w:i w:val="0"/>
          <w:color w:val="64748B"/>
          <w:sz w:val="16"/>
        </w:rPr>
        <w:t xml:space="preserve">sur s07bq03a_2 : </w:t>
      </w:r>
      <w:r>
        <w:rPr>
          <w:b w:val="0"/>
          <w:i w:val="0"/>
          <w:sz w:val="17"/>
        </w:rPr>
        <w:t>0,125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