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46-90-81-95</w:t>
      </w:r>
    </w:p>
    <w:p>
      <w:r>
        <w:rPr>
          <w:b w:val="0"/>
          <w:i w:val="0"/>
          <w:color w:val="64748B"/>
          <w:sz w:val="18"/>
        </w:rPr>
        <w:t>Enquêteur : EQ4_enq1_v2 (HÉLÈNE SOW NDIAYE)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46-90-81-95</w:t>
            </w:r>
          </w:p>
        </w:tc>
        <w:tc>
          <w:tcPr>
            <w:tcW w:type="dxa" w:w="3551"/>
            <w:shd w:fill="F8FAFC"/>
          </w:tcPr>
          <w:p>
            <w:r>
              <w:rPr>
                <w:b w:val="0"/>
                <w:i w:val="0"/>
                <w:color w:val="64748B"/>
                <w:sz w:val="14"/>
              </w:rPr>
              <w:t>CHEF DE MÉNAGE</w:t>
              <w:br/>
            </w:r>
            <w:r>
              <w:rPr>
                <w:b/>
                <w:i w:val="0"/>
                <w:sz w:val="18"/>
              </w:rPr>
              <w:t>AMADOU SARR</w:t>
            </w:r>
          </w:p>
        </w:tc>
      </w:tr>
      <w:tr>
        <w:tc>
          <w:tcPr>
            <w:tcW w:type="dxa" w:w="3551"/>
            <w:shd w:fill="F8FAFC"/>
          </w:tcPr>
          <w:p>
            <w:r>
              <w:rPr>
                <w:b w:val="0"/>
                <w:i w:val="0"/>
                <w:color w:val="64748B"/>
                <w:sz w:val="14"/>
              </w:rPr>
              <w:t>TÉLÉPHONE CM</w:t>
              <w:br/>
            </w:r>
            <w:r>
              <w:rPr>
                <w:b/>
                <w:i w:val="0"/>
                <w:sz w:val="18"/>
              </w:rPr>
              <w:t>76 548 08 36</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2026-06-09T11:39:20</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sarr (13850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SARR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SARR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coiffure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s01q35, s01q36, s01q37, s02q04, s02q15, s03q13, s03q14, s03q15</w:t>
            </w:r>
          </w:p>
        </w:tc>
        <w:tc>
          <w:tcPr>
            <w:tcW w:type="dxa" w:w="6520"/>
          </w:tcPr>
          <w:p>
            <w:r>
              <w:rPr>
                <w:b w:val="0"/>
                <w:i w:val="0"/>
                <w:sz w:val="17"/>
              </w:rPr>
              <w:t>Le montant mensuel du loyer (15 FCFA) avec comme type de logement (Maison Basse) est trop faible dans un milieu urbain,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AMADOU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SARR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