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AMADOU LAMINE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AMADOU LAMINE THIAW frequente actuellement 2ème année de Supérieur mais dit avoir reçu une bourse de 480000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BONDJI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AMADOU LAMINE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BADA THIAW ne peut être égal à 0 pour ce credit immobilier en cours,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NDIAYE THIAW (14600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 THIAW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femmes qui font la lessive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BADA THIAW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