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01-10-67-18</w:t>
      </w:r>
    </w:p>
    <w:p>
      <w:r>
        <w:rPr>
          <w:b w:val="0"/>
          <w:i w:val="0"/>
          <w:color w:val="64748B"/>
          <w:sz w:val="18"/>
        </w:rPr>
        <w:t>Enquêteur : EQ17_enq3_v2 (SIDYA DAHABA)  ·  Équipe : EQ17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133202010004</w:t>
            </w:r>
          </w:p>
        </w:tc>
        <w:tc>
          <w:tcPr>
            <w:tcW w:type="dxa" w:w="3551"/>
            <w:shd w:fill="F8FAFC"/>
          </w:tcPr>
          <w:p>
            <w:r>
              <w:rPr>
                <w:b w:val="0"/>
                <w:i w:val="0"/>
                <w:color w:val="64748B"/>
                <w:sz w:val="14"/>
              </w:rPr>
              <w:t>MÉNAGE</w:t>
              <w:br/>
            </w:r>
            <w:r>
              <w:rPr>
                <w:b/>
                <w:i w:val="0"/>
                <w:color w:val="1F6FEB"/>
                <w:sz w:val="18"/>
              </w:rPr>
              <w:t>01-10-67-18</w:t>
            </w:r>
          </w:p>
        </w:tc>
        <w:tc>
          <w:tcPr>
            <w:tcW w:type="dxa" w:w="3551"/>
            <w:shd w:fill="F8FAFC"/>
          </w:tcPr>
          <w:p>
            <w:r>
              <w:rPr>
                <w:b w:val="0"/>
                <w:i w:val="0"/>
                <w:color w:val="64748B"/>
                <w:sz w:val="14"/>
              </w:rPr>
              <w:t>CHEF DE MÉNAGE</w:t>
              <w:br/>
            </w:r>
            <w:r>
              <w:rPr>
                <w:b/>
                <w:i w:val="0"/>
                <w:sz w:val="18"/>
              </w:rPr>
              <w:t>##N/A##</w:t>
            </w:r>
          </w:p>
        </w:tc>
      </w:tr>
      <w:tr>
        <w:tc>
          <w:tcPr>
            <w:tcW w:type="dxa" w:w="3551"/>
            <w:shd w:fill="F8FAFC"/>
          </w:tcPr>
          <w:p>
            <w:r>
              <w:rPr>
                <w:b w:val="0"/>
                <w:i w:val="0"/>
                <w:color w:val="64748B"/>
                <w:sz w:val="14"/>
              </w:rPr>
              <w:t>TÉLÉPHONE CM</w:t>
              <w:br/>
            </w:r>
            <w:r>
              <w:rPr>
                <w:b/>
                <w:i w:val="0"/>
                <w:sz w:val="18"/>
              </w:rPr>
              <w:t>—</w:t>
            </w:r>
          </w:p>
        </w:tc>
        <w:tc>
          <w:tcPr>
            <w:tcW w:type="dxa" w:w="3551"/>
            <w:shd w:fill="F8FAFC"/>
          </w:tcPr>
          <w:p>
            <w:r>
              <w:rPr>
                <w:b w:val="0"/>
                <w:i w:val="0"/>
                <w:color w:val="64748B"/>
                <w:sz w:val="14"/>
              </w:rPr>
              <w:t>LOCALISATION</w:t>
              <w:br/>
            </w:r>
            <w:r>
              <w:rPr>
                <w:b/>
                <w:i w:val="0"/>
                <w:sz w:val="18"/>
              </w:rPr>
              <w:t>##N/A##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2026-06-14T09:11:07</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FCFA dans Frais de connexion au réseau de distribution d'eau mais dit ne pas être connecté à un réseau d'eau courante, prière de corriger cette incoherenceLe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EL HADJI NDIAYE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ELHADJI NDIAYE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(12000 Fcfa) dépensé ou reçu en cadeau pour les recharges internet ou de forfaits de données mobiles(hors appels vocaux), aucours des 30 derniers jours de  ELHADJI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ELHADJI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EL HADJI NDIAYE (16800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ELHADJI NDIAYE (21000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NDIAYE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NDIAYE (14000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NDIAYE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NDIAYE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NDIAYE (36000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déménagement est A un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NDIAYE (40000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d’habillement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(70),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EL HADJI NDIAYE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EL HADJI NDIAYE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[2026-06-14 12:55:30] </w:t>
      </w:r>
      <w:r>
        <w:rPr>
          <w:b/>
          <w:i w:val="0"/>
          <w:color w:val="1F6FEB"/>
          <w:sz w:val="16"/>
        </w:rPr>
        <w:t xml:space="preserve">EQ17_enq3_v2 </w:t>
      </w:r>
      <w:r>
        <w:rPr>
          <w:b w:val="0"/>
          <w:i w:val="0"/>
          <w:color w:val="64748B"/>
          <w:sz w:val="16"/>
        </w:rPr>
        <w:t xml:space="preserve">sur s09Aq02 : </w:t>
      </w:r>
      <w:r>
        <w:rPr>
          <w:b w:val="0"/>
          <w:i w:val="0"/>
          <w:sz w:val="17"/>
        </w:rPr>
        <w:t>Pour les dépenses de karité et de tabaski, le ménage les a célébré ailleurs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