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68-56-85-60</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68-56-85-60</w:t>
            </w:r>
          </w:p>
        </w:tc>
        <w:tc>
          <w:tcPr>
            <w:tcW w:type="dxa" w:w="3551"/>
            <w:shd w:fill="F8FAFC"/>
          </w:tcPr>
          <w:p>
            <w:r>
              <w:rPr>
                <w:b w:val="0"/>
                <w:i w:val="0"/>
                <w:color w:val="64748B"/>
                <w:sz w:val="14"/>
              </w:rPr>
              <w:t>CHEF DE MÉNAGE</w:t>
              <w:br/>
            </w:r>
            <w:r>
              <w:rPr>
                <w:b/>
                <w:i w:val="0"/>
                <w:sz w:val="18"/>
              </w:rPr>
              <w:t>Mouhamadou fambaye niang</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zone de captage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2026-06-16T11:01:02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tafafa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( 370000 FCFA) de Ndeye Yacine Rassoul Niang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Adjia Maimouna gueye n'a pas cherché du travail au cours des 30 derniers jours est manque de clientèle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Mouhamadou fambaye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Adjia Maimouna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Adjia Maimouna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Adjia Maimouna gueye n'a pas demandé de crédit auprès d'une institution financière au cours des 12 derniers mois est déjà rembourser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(27000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fambaye niang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Salon  (Fauteuils et table basse)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