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44-41-21-02</w:t>
      </w:r>
    </w:p>
    <w:p>
      <w:r>
        <w:rPr>
          <w:b w:val="0"/>
          <w:i w:val="0"/>
          <w:color w:val="64748B"/>
          <w:sz w:val="18"/>
        </w:rPr>
        <w:t>Enquêteur : EQ20_enq1_v2 (AWA BADJI)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44-41-21-02</w:t>
            </w:r>
          </w:p>
        </w:tc>
        <w:tc>
          <w:tcPr>
            <w:tcW w:type="dxa" w:w="3551"/>
            <w:shd w:fill="F8FAFC"/>
          </w:tcPr>
          <w:p>
            <w:r>
              <w:rPr>
                <w:b w:val="0"/>
                <w:i w:val="0"/>
                <w:color w:val="64748B"/>
                <w:sz w:val="14"/>
              </w:rPr>
              <w:t>CHEF DE MÉNAGE</w:t>
              <w:br/>
            </w:r>
            <w:r>
              <w:rPr>
                <w:b/>
                <w:i w:val="0"/>
                <w:sz w:val="18"/>
              </w:rPr>
              <w:t>MAMADOU  NIANG</w:t>
            </w:r>
          </w:p>
        </w:tc>
      </w:tr>
      <w:tr>
        <w:tc>
          <w:tcPr>
            <w:tcW w:type="dxa" w:w="3551"/>
            <w:shd w:fill="F8FAFC"/>
          </w:tcPr>
          <w:p>
            <w:r>
              <w:rPr>
                <w:b w:val="0"/>
                <w:i w:val="0"/>
                <w:color w:val="64748B"/>
                <w:sz w:val="14"/>
              </w:rPr>
              <w:t>TÉLÉPHONE CM</w:t>
              <w:br/>
            </w:r>
            <w:r>
              <w:rPr>
                <w:b/>
                <w:i w:val="0"/>
                <w:sz w:val="18"/>
              </w:rPr>
              <w:t>77 235 52 29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2026-06-11T11:06:44</w:t>
            </w:r>
          </w:p>
        </w:tc>
      </w:tr>
    </w:tbl>
    <w:p/>
    <w:p>
      <w:r>
        <w:rPr>
          <w:b/>
          <w:i w:val="0"/>
          <w:color w:val="1F6FEB"/>
          <w:sz w:val="22"/>
        </w:rPr>
        <w:t>⚠ INCOHÉRENCES À CORRIGER (159)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AMADOU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FATIMATA ABLAYE NIANG est trop jeune ou vielle pour avoir FATIMATA ABLAYE NIANG selon l'écart d'âge (13 ans) entre lui et sa mère, prière de revoir l'âge de FATIMATA ABLAYE NIANG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33 personnes et la taille du ménage est de 32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DIENABA SEYDOU NIANG ou l'année à laquelle DIENABA SEYDOU NIANG a fréquenté l'école pour la dernière fois (.) le dernier diplome de DIENABA SEYDOU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FATIMATA ABLAYE NIANG ou l'année à laquelle FATIMATA ABLAYE NIANG a fréquenté l'école pour la dernière fois (.) le dernier diplome de FATIMATA ABLAYE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 diffère de celui donné par AISSATOU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 AMADOU DIALLO diffère de celui donné par KADIA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NIANG diffère de celui donné par MAMADOU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MARIATA HANE diffère de celui donné par MARIATA HANE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HANE diffère de celui donné par MARIETOU HANE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ABLAYE KANE diffère de celui donné par RAMATA ABLAYE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SEYDOU DIALLO diffère de celui donné par SALIMATA SEYDOU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120 Tas de Moyen de Feuilles de haricot/ "niébé"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182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72 Tas de Moyen de Feuilles nébédaye/ poudre (moringa)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SALIMATA SEYDOU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MOISY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SALIF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(32)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MARIETOU AMADOU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AMADOU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SEYDOU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DIENABA SEYDOU NIANG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ABLAYE NIANG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MARIEME ABLAYE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MARIATA HANE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HANE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ABLAYE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SEYDOU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HALIMA NIANG qui fréquente 1ére année de Maternelle  est de 0 FCFA, HALIMA NIANG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HALIMA NIANG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(86000 Fcfa) de KHASSIM NIANG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FATIMATA AMADOU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FATIMATA AMADOU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KADIA 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 AMADOU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MARIETOU HANE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RAMATA ABLAYE KANE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SEYDOU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Maïs en grain,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(2620000 Fcfa) pour Autres fêtes réligieuses musulmanes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NIANG (2620000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ATELIER DE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(300000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(4000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65000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Bicyclette, vélo de course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MARAÎCHAGE est L’ESPACE EXPLOITÉ SE TROUVE DERRIERE LA MAISON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40000 FCFA qui semble élevé, prière de verifier le montant tiré de la vente (120000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ABSATA KANE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MARIETOU AMADOU NIANG fréquente 5ème année de Primaire mais ne sait pas écrire, prière de vérifier auprès de MARIETOU AMADOU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KADIA AMADOU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MARIETOU HANE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SALIMATA SEYDOU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AISSATOU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FATIMATA AMADOU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RAMATA ABLAYE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 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120 Tas Moyen de Feuilles de haricot/ "niébé",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(950 Fcfa) de Thé (Ataya) (unité: Paquet)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 Tas Moyen de Feuilles nébédaye/ poudre (moringa),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[2026-06-14 19:52:49] </w:t>
      </w:r>
      <w:r>
        <w:rPr>
          <w:b/>
          <w:i w:val="0"/>
          <w:color w:val="1F6FEB"/>
          <w:sz w:val="16"/>
        </w:rPr>
        <w:t xml:space="preserve">EQ20_enq1_v2 </w:t>
      </w:r>
      <w:r>
        <w:rPr>
          <w:b w:val="0"/>
          <w:i w:val="0"/>
          <w:color w:val="64748B"/>
          <w:sz w:val="16"/>
        </w:rPr>
        <w:t xml:space="preserve">sur s10q36 : </w:t>
      </w:r>
      <w:r>
        <w:rPr>
          <w:b w:val="0"/>
          <w:i w:val="0"/>
          <w:sz w:val="17"/>
        </w:rPr>
        <w:t>"ELLE A DEUX CONGÉLATEUR "</w:t>
      </w:r>
    </w:p>
    <w:p>
      <w:pPr>
        <w:pStyle w:val="ListBullet"/>
      </w:pPr>
      <w:r>
        <w:rPr>
          <w:b w:val="0"/>
          <w:i w:val="0"/>
          <w:color w:val="64748B"/>
          <w:sz w:val="16"/>
        </w:rPr>
        <w:t xml:space="preserve">[2026-06-17 20:10:44] </w:t>
      </w:r>
      <w:r>
        <w:rPr>
          <w:b/>
          <w:i w:val="0"/>
          <w:color w:val="1F6FEB"/>
          <w:sz w:val="16"/>
        </w:rPr>
        <w:t xml:space="preserve">EQ20_enq1_v2 </w:t>
      </w:r>
      <w:r>
        <w:rPr>
          <w:b w:val="0"/>
          <w:i w:val="0"/>
          <w:color w:val="64748B"/>
          <w:sz w:val="16"/>
        </w:rPr>
        <w:t xml:space="preserve">sur s04q49 : </w:t>
      </w:r>
      <w:r>
        <w:rPr>
          <w:b w:val="0"/>
          <w:i w:val="0"/>
          <w:sz w:val="17"/>
        </w:rPr>
        <w:t>BENEFICE NUL</w:t>
      </w:r>
    </w:p>
    <w:p>
      <w:pPr>
        <w:pStyle w:val="ListBullet"/>
      </w:pPr>
      <w:r>
        <w:rPr>
          <w:b w:val="0"/>
          <w:i w:val="0"/>
          <w:color w:val="64748B"/>
          <w:sz w:val="16"/>
        </w:rPr>
        <w:t xml:space="preserve">[2026-06-17 20:11:13] </w:t>
      </w:r>
      <w:r>
        <w:rPr>
          <w:b/>
          <w:i w:val="0"/>
          <w:color w:val="1F6FEB"/>
          <w:sz w:val="16"/>
        </w:rPr>
        <w:t xml:space="preserve">EQ20_enq1_v2 </w:t>
      </w:r>
      <w:r>
        <w:rPr>
          <w:b w:val="0"/>
          <w:i w:val="0"/>
          <w:color w:val="64748B"/>
          <w:sz w:val="16"/>
        </w:rPr>
        <w:t xml:space="preserve">sur s04q54 : </w:t>
      </w:r>
      <w:r>
        <w:rPr>
          <w:b w:val="0"/>
          <w:i w:val="0"/>
          <w:sz w:val="17"/>
        </w:rPr>
        <w:t>BENEFICE NUL</w:t>
      </w:r>
    </w:p>
    <w:p>
      <w:pPr>
        <w:pStyle w:val="ListBullet"/>
      </w:pPr>
      <w:r>
        <w:rPr>
          <w:b w:val="0"/>
          <w:i w:val="0"/>
          <w:color w:val="64748B"/>
          <w:sz w:val="16"/>
        </w:rPr>
        <w:t xml:space="preserve">[2026-06-17 20:13:19] </w:t>
      </w:r>
      <w:r>
        <w:rPr>
          <w:b/>
          <w:i w:val="0"/>
          <w:color w:val="1F6FEB"/>
          <w:sz w:val="16"/>
        </w:rPr>
        <w:t xml:space="preserve">EQ20_enq1_v2 </w:t>
      </w:r>
      <w:r>
        <w:rPr>
          <w:b w:val="0"/>
          <w:i w:val="0"/>
          <w:color w:val="64748B"/>
          <w:sz w:val="16"/>
        </w:rPr>
        <w:t xml:space="preserve">sur s16cq16a : </w:t>
      </w:r>
      <w:r>
        <w:rPr>
          <w:b w:val="0"/>
          <w:i w:val="0"/>
          <w:sz w:val="17"/>
        </w:rPr>
        <w:t>LE MENAGE NE SAIT PAS LA QUANTITE RECOLTE CAR NE VEND QUE SELON LE BESOIN DU CLIENT POUR LE THE...</w:t>
      </w:r>
    </w:p>
    <w:p>
      <w:pPr>
        <w:pStyle w:val="ListBullet"/>
      </w:pPr>
      <w:r>
        <w:rPr>
          <w:b w:val="0"/>
          <w:i w:val="0"/>
          <w:color w:val="64748B"/>
          <w:sz w:val="16"/>
        </w:rPr>
        <w:t xml:space="preserve">[2026-06-17 20:19:13] </w:t>
      </w:r>
      <w:r>
        <w:rPr>
          <w:b/>
          <w:i w:val="0"/>
          <w:color w:val="1F6FEB"/>
          <w:sz w:val="16"/>
        </w:rPr>
        <w:t xml:space="preserve">EQ20_enq1_v2 </w:t>
      </w:r>
      <w:r>
        <w:rPr>
          <w:b w:val="0"/>
          <w:i w:val="0"/>
          <w:color w:val="64748B"/>
          <w:sz w:val="16"/>
        </w:rPr>
        <w:t xml:space="preserve">sur @@Completed : </w:t>
      </w:r>
      <w:r>
        <w:rPr>
          <w:b w:val="0"/>
          <w:i w:val="0"/>
          <w:sz w:val="17"/>
        </w:rPr>
        <w:t>POUR LA CULTURE DE LA MENTHE, LE MÉNAGE N’EST PAS EN MESURE DE QUANTIFIER LA CULTURE POUR LA VENTE, LES CADEAU OFFERT ENCORE MOINS POUR SA CONSOMMATION CAR POUR SE DERNIER IL UTILISE QUE POUR LE THE.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