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Gamou Dieye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Gamou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(1300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Modou Dieye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Ciment/Béton, mais celui du ménage de Modou Dieye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7968.78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p>
      <w:pPr>
        <w:pStyle w:val="ListBullet"/>
      </w:pPr>
      <w:r>
        <w:rPr>
          <w:b w:val="0"/>
          <w:i w:val="0"/>
          <w:color w:val="64748B"/>
          <w:sz w:val="16"/>
        </w:rPr>
        <w:t xml:space="preserve">[2026-06-06 15:34:01] </w:t>
      </w:r>
      <w:r>
        <w:rPr>
          <w:b/>
          <w:i w:val="0"/>
          <w:color w:val="1F6FEB"/>
          <w:sz w:val="16"/>
        </w:rPr>
        <w:t xml:space="preserve">EQ23_enq2_v2 </w:t>
      </w:r>
      <w:r>
        <w:rPr>
          <w:b w:val="0"/>
          <w:i w:val="0"/>
          <w:color w:val="64748B"/>
          <w:sz w:val="16"/>
        </w:rPr>
        <w:t xml:space="preserve">sur s20cq08d : </w:t>
      </w:r>
      <w:r>
        <w:rPr>
          <w:b w:val="0"/>
          <w:i w:val="0"/>
          <w:sz w:val="17"/>
        </w:rPr>
        <w:t>dỳ8888888888888888888&amp;dðddðððddddd36335755ń2es1q</w:t>
      </w:r>
    </w:p>
    <w:p>
      <w:pPr>
        <w:pStyle w:val="ListBullet"/>
      </w:pPr>
      <w:r>
        <w:rPr>
          <w:b w:val="0"/>
          <w:i w:val="0"/>
          <w:color w:val="64748B"/>
          <w:sz w:val="16"/>
        </w:rPr>
        <w:t xml:space="preserve">[2026-06-11 23:27:56]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18:20:06]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[2026-06-15 18:45:50]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Modou Dièye. La réponse « études non adaptées » ne semble pas appropriée. Merci de demander la véritable raison. Revoir la question 3.13 de Gamou. Revoir les réponses à la question 4.58 pour tous les membres du ménage, ainsi que l'ensemble de la section 4. Revoir la question 10.23. Revoir la question 10.50. Quelle rémunération ou quel salaire la personne perçoit-elle ? Revoir la question 16B.04. Revoir les questions 16C.16B et 16C.16C : les réponses sont incohérentes. Revoir la section 17. Le ménage possède des poulets ; je les ai vus lors de la visite.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