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76-78-46-36</w:t>
      </w:r>
    </w:p>
    <w:p>
      <w:r>
        <w:rPr>
          <w:b w:val="0"/>
          <w:i w:val="0"/>
          <w:color w:val="64748B"/>
          <w:sz w:val="18"/>
        </w:rPr>
        <w:t>Enquêteur : EQ28_enq2_v2 (MARIE NDAO)  ·  Équipe : EQ28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76-78-46-36</w:t>
            </w:r>
          </w:p>
        </w:tc>
        <w:tc>
          <w:tcPr>
            <w:tcW w:type="dxa" w:w="3551"/>
            <w:shd w:fill="F8FAFC"/>
          </w:tcPr>
          <w:p>
            <w:r>
              <w:rPr>
                <w:b w:val="0"/>
                <w:i w:val="0"/>
                <w:color w:val="64748B"/>
                <w:sz w:val="14"/>
              </w:rPr>
              <w:t>CHEF DE MÉNAGE</w:t>
              <w:br/>
            </w:r>
            <w:r>
              <w:rPr>
                <w:b/>
                <w:i w:val="0"/>
                <w:sz w:val="18"/>
              </w:rPr>
              <w:t>IBRAHIMA DIAGNE</w:t>
            </w:r>
          </w:p>
        </w:tc>
      </w:tr>
      <w:tr>
        <w:tc>
          <w:tcPr>
            <w:tcW w:type="dxa" w:w="3551"/>
            <w:shd w:fill="F8FAFC"/>
          </w:tcPr>
          <w:p>
            <w:r>
              <w:rPr>
                <w:b w:val="0"/>
                <w:i w:val="0"/>
                <w:color w:val="64748B"/>
                <w:sz w:val="14"/>
              </w:rPr>
              <w:t>TÉLÉPHONE CM</w:t>
              <w:br/>
            </w:r>
            <w:r>
              <w:rPr>
                <w:b/>
                <w:i w:val="0"/>
                <w:sz w:val="18"/>
              </w:rPr>
              <w:t>77 635 18 11</w:t>
            </w:r>
          </w:p>
        </w:tc>
        <w:tc>
          <w:tcPr>
            <w:tcW w:type="dxa" w:w="3551"/>
            <w:shd w:fill="F8FAFC"/>
          </w:tcPr>
          <w:p>
            <w:r>
              <w:rPr>
                <w:b w:val="0"/>
                <w:i w:val="0"/>
                <w:color w:val="64748B"/>
                <w:sz w:val="14"/>
              </w:rPr>
              <w:t>LOCALISATION</w:t>
              <w:br/>
            </w:r>
            <w:r>
              <w:rPr>
                <w:b/>
                <w:i w:val="0"/>
                <w:sz w:val="18"/>
              </w:rPr>
              <w:t>Ndorong Sadaga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2  ·  1ʳᵉ visite : 2026-06-06T15:00:17</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Diagne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Diagne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Mbacke Diagne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 Wade diffère de celui donné par Rama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Diagne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Aminata Diagne ou l'année à laquelle Aminata Diagne a fréquenté l'école pour la dernière fois (.) le dernier diplome de Aminata Diagne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5 personne(s) a consommé 2.1755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Mbacke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Fama Diagne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Rama Wade n'a pas fait des études dans une école formelle est abadon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Diagne n'a pas été à l'école entre 2024/2025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Diagne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Mbacke Diagne qui fréquente 6ème année de Primaire  est de 0 FCFA, Fatou Mbacke Diagne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Mbacke Diagne qui fréquente 6ème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montant(128900 FCFA) des frais des médicaments achetés dans les officines privées de Ibrahima Diagne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(273400 Fcfa) de Ibrahima Diagne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Ibrahima Diagne fait ibrahima est malade ,sa femme qui gere le menage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Ibrahima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Aminata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Aminata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Fama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Fama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Mbacke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Mbacke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Rama Wade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Rama Wade n'a pas demandé de crédit auprès d'une institution financière au cours des 12 derniers mois est pas de biens  qui peuvent garantir le credit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maïs, mil, haricot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chez le voisgin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d'arachide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Poireau/ oignon vert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Grand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(10500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(400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(35000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(35000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(6000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beignets et de fataya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KAOLACK Urbain ont généralement comme principal matériau de revêtement du sol du logement le/la Carreaux/Marbre, mais celui du ménage de IBRAHIMA DIAGNE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Ibrahima Diagne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Rama Wade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Rama Wade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Patate douce,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[2026-06-12 13:39:38] </w:t>
      </w:r>
      <w:r>
        <w:rPr>
          <w:b/>
          <w:i w:val="0"/>
          <w:color w:val="1F6FEB"/>
          <w:sz w:val="16"/>
        </w:rPr>
        <w:t xml:space="preserve">EQ28_enq2_v2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[2026-06-18 05:38:06] </w:t>
      </w:r>
      <w:r>
        <w:rPr>
          <w:b/>
          <w:i w:val="0"/>
          <w:color w:val="1F6FEB"/>
          <w:sz w:val="16"/>
        </w:rPr>
        <w:t xml:space="preserve">EQ28_sup_v2 </w:t>
      </w:r>
      <w:r>
        <w:rPr>
          <w:b w:val="0"/>
          <w:i w:val="0"/>
          <w:color w:val="64748B"/>
          <w:sz w:val="16"/>
        </w:rPr>
        <w:t xml:space="preserve">sur @@RejectedBySupervisor : </w:t>
      </w:r>
      <w:r>
        <w:rPr>
          <w:b w:val="0"/>
          <w:i w:val="0"/>
          <w:sz w:val="17"/>
        </w:rPr>
        <w:t>La correction de la section 10 n'est pas effective.  On 3 entreprises détenues par Rama, Fatou mbacke et Aminata et ça n'apparaît pas dans la section 10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