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33-19-77-47</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33-19-77-47</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2026-06-15T10:59:03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MOURTALLA SAMB semble incoherent, veuillez vérifier ou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SAMB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MOURTALLA SAMB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rideaux et de draps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rideaux et de draps, prière de renseignés toutes les questions liées à vente de rideaux et de draps.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[2026-06-15 12:19:23] </w:t>
      </w:r>
      <w:r>
        <w:rPr>
          <w:b/>
          <w:i w:val="0"/>
          <w:color w:val="1F6FEB"/>
          <w:sz w:val="16"/>
        </w:rPr>
        <w:t xml:space="preserve">EQ3_enq1_v2 </w:t>
      </w:r>
      <w:r>
        <w:rPr>
          <w:b w:val="0"/>
          <w:i w:val="0"/>
          <w:color w:val="64748B"/>
          <w:sz w:val="16"/>
        </w:rPr>
        <w:t xml:space="preserve">sur s02q08 : </w:t>
      </w:r>
      <w:r>
        <w:rPr>
          <w:b w:val="0"/>
          <w:i w:val="0"/>
          <w:sz w:val="17"/>
        </w:rPr>
        <w:t>il a débuté par l ecole coranique jusqu à l âge de 18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