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AMADOU LAMINE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THIAW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AMADOU LAMINE THIAW frequente actuellement 2ème année de Supérieur mais dit avoir reçu une bourse de 480000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BONDJI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AMADOU LAMINE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BADA THIAW ne peut être égal à 0 pour ce credit immobilier en cours,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NDIAYE THIAW (14600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 THIAW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femmes qui font la lessive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(1300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BADA THIAW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