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91-49-01-20</w:t>
      </w:r>
    </w:p>
    <w:p>
      <w:r>
        <w:rPr>
          <w:b w:val="0"/>
          <w:i w:val="0"/>
          <w:color w:val="64748B"/>
          <w:sz w:val="18"/>
        </w:rPr>
        <w:t>Enquêteur : EQ7_enq4_v2 (SARA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91-49-01-20</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77 400 54 02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2026-06-03T10:16:31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MOUSSA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NDIAYE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NDIAYE.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condiments (persil, céléri, etc.)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NDIAYE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(4000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Appartement dans un immeuble à DAKAR Urbain ont généralement comme principal matériau du toit le/la Dalle en ciment, mais celui du ménage de MOUSSA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Appartement dans un immeuble à DAKAR Urbain ont généralement comme principal matériau de revêtement du sol du logement le/la Carreaux/Marbre, mais celui du ménage de MOUSSA NDIAYE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27500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(58 ) de Engrais organiques - déchets d'animaux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16 FCFA par Gramme qui semble faible, prière de vérifier  le montant d'achat (4000 FCFA pour 250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Pastèque dans la parcelle Parcelle1 est de 100% c'est-à-dire que la recolte n'a pas commencé pour ces cultures, prière de regarder les questions (s16cq11 s16cq12) ou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