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32-23-85-46</w:t>
      </w:r>
    </w:p>
    <w:p>
      <w:r>
        <w:rPr>
          <w:b w:val="0"/>
          <w:i w:val="0"/>
          <w:color w:val="64748B"/>
          <w:sz w:val="18"/>
        </w:rPr>
        <w:t>Enquêteur : EQ1_sup_v2  ·  Équipe : EQ1  ·  Snapshot : 2026-06-11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11301140053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32-23-85-46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ABDOULAYE BA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77 352 86 16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4em chambre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EQ1_sup_v2  (13)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2026-06-11T12:58:32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Inter-sections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Abdoulaye Ba (11875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dépense en alimentation pour Fin du Ramadan 2026  ne peut être 0.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de construction le/la Ciment/Béton/Pierres de taille, mais celui du ménage de ABDOULAYE BA (Briques cuites) diffère de celui-ci.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de revêtement du sol du logement le/la Carreaux/Marbre, mais celui du ménage de ABDOULAYE BA (Ciment/Béton) diffère de celui-ci.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de ABDOULAYE BA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13:16:43]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s01q08 : </w:t>
      </w:r>
      <w:r>
        <w:rPr>
          <w:b w:val="0"/>
          <w:i w:val="0"/>
          <w:sz w:val="17"/>
        </w:rPr>
        <w:t>"ces deux femmes vivent en Guinée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