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EQ11_sup_v2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(114)</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HAMADOU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SOW a declaré que le secteur institutionnel de sa mère est Ménage alors que la mère elle-même declare comme secteur institutionnel Entreprise Privée au niveau de la section 4b.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(450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(5040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 SOW (165500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voie fluviale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(400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