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abdourahmane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aboubacary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baïdy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maimouna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maimouna ba) , prière de renseigner toutes les questions liées à  maimouna ba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aboubacary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baïdy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molido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sira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montant(199000 FCFA) des dépenses liées à l'accouchement de molido dia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montant(0 FCFA) des dépenses pour chaque visite prénatale de molido dia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molido dia a eu est problème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ouma dia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molido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baïdy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 Le nombre de jours (7 jours) que samba ndiaye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baïdy diop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BABAKAR DIOP (76700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BABAKAR DIOP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(105000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BABAKAR DIOP (105000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de pain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mécanicien moto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60000 Fcfa avec le type de logement Maison Basse est relativement élevé par rapport aux autres montants observés à MATAM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Urbain ont généralement comme principal matériau de construction le/la Briques cuites, mais celui du ménage de BABAKAR DIOP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Urbain ont généralement comme principal matériau du toit le/la Tôles, mais celui du ménage de BABAKAR DIOP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Urbain ont généralement comme principal matériau de revêtement du sol du logement le/la Terre battue/Sable, mais celui du ménage de BABAKAR DIOP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mamadou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molido dia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samba ndiaye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