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EQ2_sup_v2  ·  Équipe : EQ2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(21)</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QGIncoherence!!! Dans ce ménage,aucun membre n'a été declaré comme chef.</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la variable 0.10 (Prenom et nom du chef de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Elle ne doit pas contenir des chiffres.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 prière de la renseigner.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n'est pas totalement renseigné ou n'a pas commencé, prière de renseigner toutes les questions de la section 10 avant d'entamer la section 10b</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s16aq04</w:t>
            </w:r>
          </w:p>
        </w:tc>
        <w:tc>
          <w:tcPr>
            <w:tcW w:type="dxa" w:w="1191"/>
          </w:tcPr>
          <w:p>
            <w:r>
              <w:rPr>
                <w:b w:val="0"/>
                <w:i w:val="0"/>
                <w:color w:val="64748B"/>
                <w:sz w:val="16"/>
              </w:rPr>
              <w:t>GT-CQ</w:t>
            </w:r>
          </w:p>
        </w:tc>
        <w:tc>
          <w:tcPr>
            <w:tcW w:type="dxa" w:w="4706"/>
          </w:tcPr>
          <w:p>
            <w:r>
              <w:rPr>
                <w:b w:val="0"/>
                <w:i w:val="0"/>
                <w:sz w:val="17"/>
              </w:rPr>
              <w:t>Attention ! Vous avez déclaré en s16aq04 que le répondant est  qui 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ans), Il est trop jeune ou vieux pour fournir des informations correctes concernant cette section.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