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95-00-23-47</w:t>
      </w:r>
    </w:p>
    <w:p>
      <w:r>
        <w:rPr>
          <w:b w:val="0"/>
          <w:i w:val="0"/>
          <w:color w:val="64748B"/>
          <w:sz w:val="18"/>
        </w:rPr>
        <w:t>Enquêteur : EQ35_sup_v2  ·  Équipe : EQ35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21204020031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95-00-23-47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SATOU NDIAYE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78 307 14 60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BATARA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EQ35_sup_v2  (353)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35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2026-06-04T12:41:44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(39)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Incoherence!! Le ménage a depensé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s11q21, s09fq03, s09fq011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FCFA dans Frais de connexion au réseau de distribution d'eau mais dit ne pas être connecté à un réseau d'eau courante, prière de corriger cette incoherenceAttention!!! Les ménages vivants dans un(e) Maison Basse à ZIGUINCHOR Urbain ont généralement comme principal matériau de construction le/la Banco amélioré/ semi-dur, mais celui du ménage de SATOU NDIAYE (Ciment/Béton/Pierres de taille)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obligatoire de prendre les coordonnées Gps avant d'administrer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prendre les coordonnées GPS.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(2) de ce ménage est inférieur à la taille du denombrement (5),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SATOU NDIAYE (19000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total declaré de FATOU CHAM concernant les repas pris à l'extérieur du ménage au cours des 7 jours semble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et de corriger ou de confirmer ces informations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FATOU CHAM (21300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(150 Fcfa) de Carotte en Pièce (Petit)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Tabaski 2025/2026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s'il vous plaît revoir ce montant.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SATOU NDIAYE (1000 Fcfa) au cours de 30 derniers jours de Bois de chauffe acheté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(350 Fcfa) pour Pâte dentifrice semble faible.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SATOU NDIAYE (1000 Fcfa) au cours de 6 derniers mois de Accessoires des chaussures (chausse-pieds; brosses à chaussure, lacet)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s01q41, s02q20, s02q21, s02q22, s03q37__4, s03q39a, s03q39b, s03q39c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temps mis (en heure et en minute) pour s'approvisionner en eau de boisson une fois à la source est 152.5 fois plus élevé que le temps mis (en minutes) pour se rendre à la principale source d'approvisionnement en eau de boisson, prière de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11.18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ZIGUINCHOR Urbain ont généralement comme principal matériau du toit le/la Tôles, mais celui du ménage de SATOU NDIAYE (Tuile)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s04q01, s04q02, s04q03, s04q04, s04q05, s04q06, s04q07, s04q08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SATOU NDIAYE n'a consacré aucune heure pour aucun des travaux du ménage, prière de regarder les réponses prises dans les questions (s04q01 s04q02 s04q03 s04q04 s04q05 s04q06 s04q07 s04q08).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2 Paquet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(150 Fcfa) de Thé (Ataya) (unité: Paquet) de taille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SATOU NDIAYE a comme taille 2 personnes dont ils vivent à ZIGUINCHOR Urbain et aucune d'entre ne possède une entreprise non agricole, prière de revoir cette partie de la section 10 de ce menage.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s01q39, s01q43, s01q44, s02q15, s02q20, s02q21, s03q07, s03q08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temps mis (en heure et en minute) pour s'approvisionner en eau de boisson une fois à la source (305 minutes) est élevé, prière de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s02q23, s03q55, s04q51,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ménage se débarrasse de ses ordures ménagères avec Brûlées par le ménage en milieu urbain, prière de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minimum mensuel déclaré par le ménage est aberrant (trop faible ou trop élevé pour assurer un niveau de vie décent).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(2)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[2026-06-04 13:22:26] </w:t>
      </w:r>
      <w:r>
        <w:rPr>
          <w:b/>
          <w:i w:val="0"/>
          <w:color w:val="1F6FEB"/>
          <w:sz w:val="16"/>
        </w:rPr>
        <w:t xml:space="preserve">EQ35_enq3_v2 </w:t>
      </w:r>
      <w:r>
        <w:rPr>
          <w:b w:val="0"/>
          <w:i w:val="0"/>
          <w:color w:val="64748B"/>
          <w:sz w:val="16"/>
        </w:rPr>
        <w:t xml:space="preserve">sur s09Aq03 : </w:t>
      </w:r>
      <w:r>
        <w:rPr>
          <w:b w:val="0"/>
          <w:i w:val="0"/>
          <w:sz w:val="17"/>
        </w:rPr>
        <w:t>"elle participe seulement sur l'alimentation "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[2026-06-04 14:48:35] </w:t>
      </w:r>
      <w:r>
        <w:rPr>
          <w:b/>
          <w:i w:val="0"/>
          <w:color w:val="1F6FEB"/>
          <w:sz w:val="16"/>
        </w:rPr>
        <w:t xml:space="preserve">EQ35_enq3_v2 </w:t>
      </w:r>
      <w:r>
        <w:rPr>
          <w:b w:val="0"/>
          <w:i w:val="0"/>
          <w:color w:val="64748B"/>
          <w:sz w:val="16"/>
        </w:rPr>
        <w:t xml:space="preserve">sur s07Aq08b : </w:t>
      </w:r>
      <w:r>
        <w:rPr>
          <w:b w:val="0"/>
          <w:i w:val="0"/>
          <w:sz w:val="17"/>
        </w:rPr>
        <w:t>"c’est du couscous "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