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1E293B"/>
          <w:sz w:val="28"/>
        </w:rPr>
        <w:t xml:space="preserve">RAPPORT REJETS — MÉNAGE </w:t>
      </w:r>
      <w:r>
        <w:rPr>
          <w:b/>
          <w:i w:val="0"/>
          <w:color w:val="1F6FEB"/>
          <w:sz w:val="28"/>
        </w:rPr>
        <w:t>97-00-00-03</w:t>
      </w:r>
    </w:p>
    <w:p>
      <w:r>
        <w:rPr>
          <w:b w:val="0"/>
          <w:i w:val="0"/>
          <w:color w:val="64748B"/>
          <w:sz w:val="18"/>
        </w:rPr>
        <w:t>Enquêteur : EQ4_sup_v2  ·  Équipe : EQ4  ·  Snapshot : 2026-06-11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51"/>
        <w:gridCol w:w="3551"/>
        <w:gridCol w:w="3551"/>
      </w:tblGrid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DR (s00q06)</w:t>
              <w:br/>
            </w:r>
            <w:r>
              <w:rPr>
                <w:b/>
                <w:i w:val="0"/>
                <w:color w:val="16A34A"/>
                <w:sz w:val="18"/>
              </w:rPr>
              <w:t>15201010085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MÉNAGE</w:t>
              <w:br/>
            </w:r>
            <w:r>
              <w:rPr>
                <w:b/>
                <w:i w:val="0"/>
                <w:color w:val="1F6FEB"/>
                <w:sz w:val="18"/>
              </w:rPr>
              <w:t>97-00-00-03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CHEF DE MÉNAGE</w:t>
              <w:br/>
            </w:r>
            <w:r>
              <w:rPr>
                <w:b/>
                <w:i w:val="0"/>
                <w:sz w:val="18"/>
              </w:rPr>
              <w:t>ASTOU NDIAYE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TÉLÉPHONE CM</w:t>
              <w:br/>
            </w:r>
            <w:r>
              <w:rPr>
                <w:b/>
                <w:i w:val="0"/>
                <w:sz w:val="18"/>
              </w:rPr>
              <w:t>78 296 28 49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LOCALISATION</w:t>
              <w:br/>
            </w:r>
            <w:r>
              <w:rPr>
                <w:b/>
                <w:i w:val="0"/>
                <w:sz w:val="18"/>
              </w:rPr>
              <w:t>Darou Salama IV C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GPS</w:t>
              <w:br/>
            </w:r>
            <w:r>
              <w:rPr>
                <w:b/>
                <w:i w:val="0"/>
                <w:sz w:val="18"/>
              </w:rPr>
              <w:t>—</w:t>
            </w:r>
          </w:p>
        </w:tc>
      </w:tr>
      <w:tr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ENQUÊTEUR</w:t>
              <w:br/>
            </w:r>
            <w:r>
              <w:rPr>
                <w:b/>
                <w:i w:val="0"/>
                <w:sz w:val="18"/>
              </w:rPr>
              <w:t>EQ4_sup_v2  (43)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SUPERVISEUR</w:t>
              <w:br/>
            </w:r>
            <w:r>
              <w:rPr>
                <w:b/>
                <w:i w:val="0"/>
                <w:sz w:val="18"/>
              </w:rPr>
              <w:t>4</w:t>
            </w:r>
          </w:p>
        </w:tc>
        <w:tc>
          <w:tcPr>
            <w:tcW w:type="dxa" w:w="3551"/>
            <w:shd w:fill="F8FAFC"/>
          </w:tcPr>
          <w:p>
            <w:r>
              <w:rPr>
                <w:b w:val="0"/>
                <w:i w:val="0"/>
                <w:color w:val="64748B"/>
                <w:sz w:val="14"/>
              </w:rPr>
              <w:t>STATUT</w:t>
              <w:br/>
            </w:r>
            <w:r>
              <w:rPr>
                <w:b/>
                <w:i w:val="0"/>
                <w:sz w:val="18"/>
              </w:rPr>
              <w:t>2  ·  1ʳᵉ visite : 2026-06-05T11:22:00</w:t>
            </w:r>
          </w:p>
        </w:tc>
      </w:tr>
    </w:tbl>
    <w:p/>
    <w:p>
      <w:r>
        <w:rPr>
          <w:b/>
          <w:i w:val="0"/>
          <w:color w:val="1F6FEB"/>
          <w:sz w:val="22"/>
        </w:rPr>
        <w:t>⚠ INCOHÉRENCES À CORRIGER (24)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30"/>
        <w:gridCol w:w="2130"/>
        <w:gridCol w:w="2130"/>
        <w:gridCol w:w="2130"/>
        <w:gridCol w:w="2130"/>
      </w:tblGrid>
      <w:tr>
        <w:tc>
          <w:tcPr>
            <w:tcW w:type="dxa" w:w="964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Sévérité</w:t>
            </w:r>
          </w:p>
        </w:tc>
        <w:tc>
          <w:tcPr>
            <w:tcW w:type="dxa" w:w="1247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Section</w:t>
            </w:r>
          </w:p>
        </w:tc>
        <w:tc>
          <w:tcPr>
            <w:tcW w:type="dxa" w:w="153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Variable(s)</w:t>
            </w:r>
          </w:p>
        </w:tc>
        <w:tc>
          <w:tcPr>
            <w:tcW w:type="dxa" w:w="1191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Source</w:t>
            </w:r>
          </w:p>
        </w:tc>
        <w:tc>
          <w:tcPr>
            <w:tcW w:type="dxa" w:w="4706"/>
            <w:shd w:fill="1F6FEB"/>
          </w:tcPr>
          <w:p>
            <w:r>
              <w:rPr>
                <w:b/>
                <w:i w:val="0"/>
                <w:color w:val="FFFFFF"/>
                <w:sz w:val="16"/>
              </w:rPr>
              <w:t>Message / action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s01q32, s01q37, s04q23, s01q00b, s01q37_decode, s04q23_decode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Incoherence! MASSAMBA DIOUF a declaré que la catégorie socioprofessionnelle de sa mère est  alors que la mère elle-même declare comme catégorie socioprofessionnelle Aide ménagère (Domestique) au niveau de la section 4b.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Incoherence! MASSAMBA DIOUF a declaré que le secteur institutionnel de sa mère est  alors que la mère elle-même declare comme secteur institutionnel Ménage comme employeur de personnel domestique au niveau de la section 4b.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S02</w:t>
              <w:br/>
            </w:r>
            <w:r>
              <w:rPr>
                <w:b w:val="0"/>
                <w:i w:val="0"/>
                <w:color w:val="64748B"/>
                <w:sz w:val="14"/>
              </w:rPr>
              <w:t>Éducation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s00q10, s01q35, s01q36, s01q37, s02q04, s02q15, s01q00b, s02q17_code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L'âge (20 ans) de MASSAMBA DIOUF avec son niveau d'étude (4ème année Secondaire 1 (Moyen) Général) semble incoherent, veuillez confirmer cette information avec le QG ou corriger l'incohérence.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DC2626"/>
                <w:sz w:val="16"/>
              </w:rPr>
              <w:t>Haute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S02</w:t>
              <w:br/>
            </w:r>
            <w:r>
              <w:rPr>
                <w:b w:val="0"/>
                <w:i w:val="0"/>
                <w:color w:val="64748B"/>
                <w:sz w:val="14"/>
              </w:rPr>
              <w:t>Éducation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Incohérent!! Le niveau d'instruction déclaré par l'un des enfants () au niveau de la section 1 de ASTOU NDIAYE diffère de celui donné par ASTOU NDIAYE lui-même qui affirme ne pas avoir frequenté l'école formelle.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L'adresse ou la localisation du ménage doit être bien renseignée, ne doit pas contenir des numéros de téléphone et elle semble courte pour être une adresse.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S00</w:t>
              <w:br/>
            </w:r>
            <w:r>
              <w:rPr>
                <w:b w:val="0"/>
                <w:i w:val="0"/>
                <w:color w:val="64748B"/>
                <w:sz w:val="14"/>
              </w:rPr>
              <w:t>Identification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s00q12a, s00q12b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renseigner la bonne adresse.Attention! Veillez bien renseigner le deuxième numero du chef de ménage(0.12b).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verifier l'information donnée par MASSAMBA DIOUF ou corriger au niveau de la section 1.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S01</w:t>
              <w:br/>
            </w:r>
            <w:r>
              <w:rPr>
                <w:b w:val="0"/>
                <w:i w:val="0"/>
                <w:color w:val="64748B"/>
                <w:sz w:val="14"/>
              </w:rPr>
              <w:t>Démographie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s01q10_1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La taille du ménage lors de l'enquête principale (2) de ce ménage est inférieur à la taille du denombrement (12), prière de fournir des explications concrètes ou aller revisiter le ménage.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S02</w:t>
              <w:br/>
            </w:r>
            <w:r>
              <w:rPr>
                <w:b w:val="0"/>
                <w:i w:val="0"/>
                <w:color w:val="64748B"/>
                <w:sz w:val="14"/>
              </w:rPr>
              <w:t>Éducation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Merci de bien vouloir changé 2.04 en OUI et renseigné toutes les autres informations qui concerne ASTOU NDIAYE 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La dépense du répas pris à l'extérieur de ASTOU NDIAYE (12000 Fcfa) au cours de 7 derniers jours est relativement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Le prix unitaire d'achat (200 Fcfa) de Huile de palme raffinée en Litre (taille unique) est relativement faible par rapport aux autres prix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Le prix unitaire d'achat (25 Fcfa) de Cube alimentaire (Maggi, Jumbo, ) et bouillon en poudre en Cube (Moyen) est relativement faible par rapport aux autres prix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 ! Le prix unitaire d'achat (50 Fcfa) de Escargots de mer (yét) en Morceau (Portion) (Petit) est relativement faible par rapport aux autres prix observés dans cette zone.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S10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Le noms de l'entreprise  ne doit pas contenir de chiffre et doit être bien renseigné, prière de bien renseigné 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Attention!!! Les ménages vivants dans un(e) Maison Basse à DAKAR Urbain ont généralement comme principal matériau du toit le/la Dalle en ciment, mais celui du ménage de ASTOU NDIAYE (Tôles) diffère de celui-ci.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Prière de vérifier pour être sûr que vous avez choisi les bonnes modalités des questions 11.01 et 11.19.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S11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 / cadre de vie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Merci de ne pas corriger si vous êtes sûr de celui donné par le ménage et observé par vous.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EA580C"/>
                <w:sz w:val="16"/>
              </w:rPr>
              <w:t>Moyenne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S13</w:t>
              <w:br/>
            </w:r>
            <w:r>
              <w:rPr>
                <w:b w:val="0"/>
                <w:i w:val="0"/>
                <w:color w:val="64748B"/>
                <w:sz w:val="14"/>
              </w:rPr>
              <w:t>Transferts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s00q27, s01q00a, s01q12, s01q13, s02q04, s03q11, s03q12, s01q01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L'âge de celui qui a envoyé/donné de l'argent dans la section 13a (Transfert reçu) semble  élévé, prière de corriger ou confirmer ave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s01q35, s01q36, s01q37, s02q04, s02q15, s03q13, s03q14, s03q15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a consommé 10.5 Kg taille unique de Viande de mouton, cette quantité semble anormale pour une consommation des 7 derniers jours.Prière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s01q35, s01q36, s01q37, s02q04, s02q15, s03q13, s03q14, s03q15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a consommé 2 Paquet Petit de Thé (Ataya), cette quantité semble anormale pour une consommation des 7 derniers jours.Prière de corriger ou de confirmer avec le QG.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S07</w:t>
              <w:br/>
            </w:r>
            <w:r>
              <w:rPr>
                <w:b w:val="0"/>
                <w:i w:val="0"/>
                <w:color w:val="64748B"/>
                <w:sz w:val="14"/>
              </w:rPr>
              <w:t>Consommation alimentaire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—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 le prix unitaire (100 Fcfa) de Thé (Ataya) (unité: Paquet) de taille Petit est très faible ou élevé.</w:t>
            </w:r>
          </w:p>
        </w:tc>
      </w:tr>
      <w:tr>
        <w:tc>
          <w:tcPr>
            <w:tcW w:type="dxa" w:w="964"/>
          </w:tcPr>
          <w:p>
            <w:r>
              <w:rPr>
                <w:b/>
                <w:i w:val="0"/>
                <w:color w:val="CA8A04"/>
                <w:sz w:val="16"/>
              </w:rPr>
              <w:t>Faible</w:t>
            </w:r>
          </w:p>
        </w:tc>
        <w:tc>
          <w:tcPr>
            <w:tcW w:type="dxa" w:w="1247"/>
          </w:tcPr>
          <w:p>
            <w:r>
              <w:rPr>
                <w:b/>
                <w:i w:val="0"/>
                <w:sz w:val="16"/>
              </w:rPr>
              <w:t>S10</w:t>
              <w:br/>
            </w:r>
            <w:r>
              <w:rPr>
                <w:b w:val="0"/>
                <w:i w:val="0"/>
                <w:color w:val="64748B"/>
                <w:sz w:val="14"/>
              </w:rPr>
              <w:t>Logement</w:t>
            </w:r>
          </w:p>
        </w:tc>
        <w:tc>
          <w:tcPr>
            <w:tcW w:type="dxa" w:w="1531"/>
          </w:tcPr>
          <w:p>
            <w:r>
              <w:rPr>
                <w:b/>
                <w:i w:val="0"/>
                <w:color w:val="16A34A"/>
                <w:sz w:val="16"/>
              </w:rPr>
              <w:t>s00q07a, s00q08, s00q10, s00q13_0, s00q15_0, s00q17_0, s00q23a, s00q23b</w:t>
            </w:r>
          </w:p>
        </w:tc>
        <w:tc>
          <w:tcPr>
            <w:tcW w:type="dxa" w:w="1191"/>
          </w:tcPr>
          <w:p>
            <w:r>
              <w:rPr>
                <w:b w:val="0"/>
                <w:i w:val="0"/>
                <w:color w:val="64748B"/>
                <w:sz w:val="16"/>
              </w:rPr>
              <w:t>GT-CQ</w:t>
            </w:r>
          </w:p>
        </w:tc>
        <w:tc>
          <w:tcPr>
            <w:tcW w:type="dxa" w:w="4706"/>
          </w:tcPr>
          <w:p>
            <w:r>
              <w:rPr>
                <w:b w:val="0"/>
                <w:i w:val="0"/>
                <w:sz w:val="17"/>
              </w:rPr>
              <w:t>Avertissement!!! Le ménage de ASTOU NDIAYE a comme taille 2 personnes dont ils vivent à DAKAR Urbain et aucune d'entre ne possède une entreprise non agricole, prière de revoir cette partie de la section 10 de ce menage.</w:t>
            </w:r>
          </w:p>
        </w:tc>
      </w:tr>
    </w:tbl>
    <w:sectPr w:rsidR="00FC693F" w:rsidRPr="0006063C" w:rsidSect="00034616">
      <w:pgSz w:w="12240" w:h="15840"/>
      <w:pgMar w:top="680" w:right="794" w:bottom="68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