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11 juin 2026</w:t>
      </w:r>
    </w:p>
    <w:p/>
    <w:p>
      <w:r>
        <w:t>À la date du 11 juin 2026, la collecte cumule 889 ménages sur 72 DR couverts par 35 équipes (125 enquêteurs).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non identifiés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2 : Nombre de ménages clôturés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814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4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334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27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4 038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230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3 311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248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7 349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478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10,9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13,0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7,8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10,1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56,8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45,1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48,5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52,9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46,5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53,5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46,7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53,3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46,6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76,8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70,7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29,3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78,9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21,1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84,8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31,6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71,6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28,4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82,6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17,4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75,8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24,2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11 : Répartition de la population par tranche d'âge (pas de 5 ans) et sexe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% Pop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496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479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975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459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967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494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284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337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621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238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392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42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42,3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38,9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54,2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17,3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334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244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73,1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340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38,2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13 : Durée médiane d'interview par équipe (source : interview__duration)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interviews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19,5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18,9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14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EQ21_enq1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EQ30_enq4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EQ31_enq2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15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96,2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92,3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89,1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1 858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2 141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86,8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1 543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1 764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87,5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3 401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3 905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87,1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16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35,6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41,3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40,5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49,2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54,4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34,7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51,9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17,7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41,6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49,4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44,6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70,5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21,8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28,3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66,9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62,4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29,6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20,9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55,1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53,6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31,4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49,7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48,9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23,2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24,6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53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52,9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51,7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2,3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18,1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12,9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40,8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17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83,7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42,2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74,9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92,1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66,6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67,4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56,4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44,6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61,4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52,9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57,5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64,5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18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80,6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98,8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26,3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88,6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72,4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53,8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76,1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63,6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52,6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80,6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55,3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36,1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57,6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75,8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45,2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51,8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80,4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88,7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80,2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91,3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69,7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49,4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71,1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63,8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95,3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69,3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76,7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80,6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79,7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57,1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r>
        <w:rPr>
          <w:b/>
          <w:color w:val="1E293B"/>
          <w:sz w:val="20"/>
        </w:rPr>
        <w:t>Tableau 19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46,9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88,6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22,8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69,7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22,4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95,3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1,9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2,8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79,7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14,4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5,1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0,9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2026-06-11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2026-06-11 23:42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