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ANSD · EHCVM3 — Sénégal</w:t>
      </w:r>
    </w:p>
    <w:p>
      <w:pPr>
        <w:pStyle w:val="Title"/>
      </w:pPr>
      <w:r>
        <w:rPr>
          <w:color w:val="1F6FEB"/>
        </w:rPr>
        <w:t>Rapport de Suivi du VOLET MÉNAGE</w:t>
      </w:r>
    </w:p>
    <w:p>
      <w:pPr>
        <w:jc w:val="center"/>
      </w:pPr>
      <w:r>
        <w:rPr>
          <w:i/>
          <w:sz w:val="20"/>
        </w:rPr>
        <w:t>Situation au 19 juin 2026</w:t>
      </w:r>
    </w:p>
    <w:p/>
    <w:p>
      <w:r>
        <w:t>À la date du 19 juin 2026, la collecte cumule 1379 ménages sur 114 DR couverts par 35 équipes (135 enquêteurs).</w:t>
      </w:r>
    </w:p>
    <w:p>
      <w:pPr>
        <w:pStyle w:val="Heading1"/>
      </w:pPr>
      <w:r>
        <w:rPr>
          <w:color w:val="1F6FEB"/>
        </w:rPr>
        <w:t>1. Indicateurs de qualité de la collecte</w:t>
      </w:r>
    </w:p>
    <w:p>
      <w:r>
        <w:rPr>
          <w:b/>
          <w:color w:val="1E293B"/>
          <w:sz w:val="20"/>
        </w:rPr>
        <w:t>Tableau 1 : Nombre de DR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attendus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entamés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non rattachés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27,3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2 : Nombre de ménages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entamés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refus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clôturés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attendus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40,8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38,3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36,7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32,5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30,8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30,8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30,8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30,8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30,8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29,2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29,2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29,2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29,2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28,3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28,3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28,3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28,3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28,3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28,3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27,5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27,5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27,3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26,7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25,8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22,5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20,8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3 : Situation de la collecte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Pourcentage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Ménage valide / renseigné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1 252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90,8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Ménage non valide / à compléter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4 : Rythme de collecte — ménages collectés par équipe (+ évolution quotidienne)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Part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1,8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52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5 : Couverture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couverts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équipes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864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515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28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1 379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114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pPr>
        <w:pStyle w:val="Heading1"/>
      </w:pPr>
      <w:r>
        <w:rPr>
          <w:color w:val="1F6FEB"/>
        </w:rPr>
        <w:t>2. Indicateurs de qualité des données</w:t>
      </w:r>
    </w:p>
    <w:p>
      <w:r>
        <w:rPr>
          <w:b/>
          <w:color w:val="1E293B"/>
          <w:sz w:val="20"/>
        </w:rPr>
        <w:t>Tableau 6 : Proportion de visiteurs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212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270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276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277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317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383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437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245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0,7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7 : Proportion de visiteurs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1 463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1 286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692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1 090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690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592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1 171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373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6 216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294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4,7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4 991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425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8,5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11 207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719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6,4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8 : Taille moyenne des ménages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5,7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10,1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10,8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12,9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6,7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7,8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10,1</w:t>
            </w:r>
          </w:p>
        </w:tc>
      </w:tr>
      <w:tr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8,7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9 : Proportion d'hommes et de femmes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42,4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57,6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48,8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51,2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44,5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55,5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42,5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57,5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48,4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51,6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45,6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54,4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45,8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54,2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46,1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53,9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47,7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52,3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46,8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10 : Sexe du chef de ménage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71,4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28,6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75,4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24,6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57,8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42,2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88,1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79,2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20,8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90,6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64,8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35,2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82,1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17,9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81,2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18,8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79,1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20,9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80,4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19,6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72,9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27,1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72,7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27,3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82,9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17,1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76,6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23,4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11 : Répartition de la population par tranche d'âge (pas de 5 ans) et sexe (%)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Tranche d'âge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Ensemble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0-4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5-9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10-14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15-19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20-24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25-29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30-34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35-39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40-44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45-49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50-54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55-59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60-64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65-69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70-74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75-79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80+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12 : Proportion de ménages agricoles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agricoles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39,7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72,9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67,2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72,1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54,7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27,3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59,6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864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159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18,4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515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389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75,5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1 379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548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39,7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13 : Taille moyenne du ménage et durée médiane d'interview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 du ménage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Durée médiane (h)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20,2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17,1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15,4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15,2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14 : Sections non remplies par enquêteur (nb de ménages concernés)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Enquêteur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S02 (éduc.)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S03 (santé)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S04 (emploi)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S10 (entr.)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EQ28_enq4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EQ6_enq3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EQ30_enq1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EQ35_enq3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EQ22_enq3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EQ24_enq1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EQ8_enq2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EQ34_enq1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EQ11_enq4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EQ24_enq4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EQ29_enq4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EQ20_enq4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EQ6_enq1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EQ32_enq3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EQ27_enq3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EQ25_enq2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EQ23_enq4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EQ19_enq2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EQ17_enq1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EQ12_enq1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EQ19_enq4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EQ19_enq3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EQ29_enq3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EQ9_enq4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EQ8_enq3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EQ6_enq4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EQ4_enq2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EQ12_enq2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EQ18_enq4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EQ32_enq2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EQ29_enq1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EQ5_enq2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15 : Ratio de masculinité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Ratio (H/F ×100)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683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757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90,2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89,2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73,7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95,5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483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108,6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337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95,5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295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396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93,8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94,1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547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87,7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83,7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84,5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2 853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3 330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85,7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2 368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2 601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91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5 221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5 931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88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pPr>
        <w:pStyle w:val="Heading1"/>
      </w:pPr>
      <w:r>
        <w:rPr>
          <w:color w:val="1F6FEB"/>
        </w:rPr>
        <w:t>3. Indicateurs clés</w:t>
      </w:r>
    </w:p>
    <w:p>
      <w:r>
        <w:t>Indicateurs calculés sur les données harmonisées (mêmes définitions que la plateforme). BIT = au sens du Bureau international du travail ; ENES = au sens national (chômage élargi : sans emploi et disponible, recherche non exigée).</w:t>
      </w:r>
    </w:p>
    <w:p>
      <w:r>
        <w:rPr>
          <w:b/>
          <w:color w:val="1E293B"/>
          <w:sz w:val="20"/>
        </w:rPr>
        <w:t>Tableau 16 : Emploi — population de 15 ans et plus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d'activité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d'emploi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ENES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Aide familial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NEET 15-24 (%)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61,1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58,9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21,8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48,3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59,1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59,1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27,3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44,5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43,3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36,8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17,1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63,2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49,5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28,9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29,6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52,4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57,8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57,4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35,7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53,5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53,2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16,8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16,8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42,5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50,4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49,9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49,5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40,5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39,2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56,3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54,7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17,3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39,6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63,5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63,3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45,6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27,7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42,7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41,8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26,6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19,2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50,2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68,7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65,2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11,9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25,4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64,4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62,7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56,6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55,3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14,4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6,8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30,8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50,2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49,5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22,5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26,6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50</w:t>
            </w:r>
          </w:p>
        </w:tc>
      </w:tr>
      <w:tr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53,9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52,8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17,9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15,4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39,6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17 : Éducation &amp; santé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Alphabétisation 15+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Fréq. scolaire 6-16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Recours aux soins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59,2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34,5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51,9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63,8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75,5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61,6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37,6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60,5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69,2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82,2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74,6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94,1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64,1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64,8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68,5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56,9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44,9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57,3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52,5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56,2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62,8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18 : Cadre de vie &amp; protection sociale (ménages)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améliorée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Électricité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Propriétaires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Protection sociale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97,4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23,4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64,4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75,6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89,3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72,7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50,7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62,2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98,7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56,9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82,2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64,8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69,7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74,6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51,4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48,2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70,6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94,1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73,8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40,3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53,4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89,1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92,2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87,1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41,9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78,4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69,2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65,2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79,7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35,7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53,3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78,1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86,3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78,5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91,4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48,1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73,6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62,1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76,5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79,3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78,2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55,6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r>
        <w:rPr>
          <w:b/>
          <w:color w:val="1E293B"/>
          <w:sz w:val="20"/>
        </w:rPr>
        <w:t>Tableau 19 : Statut d'occupation du logement (s11q04)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Locataire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Logé (gratuit/employeur)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Autre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49,8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89,3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98,7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74,6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18,9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94,1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4,1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79,7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78,1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25,4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6,8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1,4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2,5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0,5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78,2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15,8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pPr>
        <w:pStyle w:val="Heading1"/>
      </w:pPr>
      <w:r>
        <w:rPr>
          <w:color w:val="1F6FEB"/>
        </w:rPr>
        <w:t>4. Questionnaire communautaire</w:t>
      </w:r>
    </w:p>
    <w:p>
      <w:r>
        <w:t>Accès aux services sociaux au niveau de la communauté/village (Phase 2 : communautés enquêtées depuis le 17 mai 2026 ; même questionnaire qu'en Phase 1, données antérieures exclues). Un service est « présent » s'il existe dans la localité.</w:t>
      </w:r>
    </w:p>
    <w:p>
      <w:r>
        <w:rPr>
          <w:b/>
          <w:color w:val="1E293B"/>
          <w:sz w:val="20"/>
        </w:rPr>
        <w:t>Tableau 20 : Accès aux services sociaux par région (communautés)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Communautés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École prim.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Centre santé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Marché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boisson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Route bit.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Services (moy./27)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68,4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58,8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61,1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77,8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55,6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44,4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7,9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28,6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6,6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88,9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77,8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88,9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71,4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6,4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9,8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62,5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37,5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12,5</w:t>
            </w:r>
          </w:p>
        </w:tc>
      </w:tr>
      <w:tr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108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94,2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74,5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61,4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48,5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46,9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10,8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2026-06-19</w:t>
      </w:r>
    </w:p>
    <w:p>
      <w:pPr>
        <w:jc w:val="center"/>
      </w:pPr>
      <w:r>
        <w:rPr>
          <w:i/>
          <w:color w:val="64748B"/>
          <w:sz w:val="16"/>
        </w:rPr>
        <w:t>Rapport généré automatiquement le 2026-06-24 22:21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