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HAMATH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(97000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HAMATH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HAMATH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séché (tambadiang,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p>
      <w:pPr>
        <w:pStyle w:val="ListBullet"/>
      </w:pPr>
      <w:r>
        <w:rPr>
          <w:b w:val="0"/>
          <w:i w:val="0"/>
          <w:color w:val="64748B"/>
          <w:sz w:val="16"/>
        </w:rPr>
        <w:t xml:space="preserve">[2026-06-17 11:10:22] </w:t>
      </w:r>
      <w:r>
        <w:rPr>
          <w:b/>
          <w:i w:val="0"/>
          <w:color w:val="1F6FEB"/>
          <w:sz w:val="16"/>
        </w:rPr>
        <w:t xml:space="preserve">EQ13_enq2_v2 </w:t>
      </w:r>
      <w:r>
        <w:rPr>
          <w:b w:val="0"/>
          <w:i w:val="0"/>
          <w:color w:val="64748B"/>
          <w:sz w:val="16"/>
        </w:rPr>
        <w:t xml:space="preserve">sur @@Completed : </w:t>
      </w:r>
      <w:r>
        <w:rPr>
          <w:b w:val="0"/>
          <w:i w:val="0"/>
          <w:sz w:val="17"/>
        </w:rPr>
        <w:t>"OK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