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(95550 Fcfa) de Aladji Gueye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DJIBI GUEYE BA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Gueye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Djibi Gueye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[2026-07-01 10:32:51] </w:t>
      </w:r>
      <w:r>
        <w:rPr>
          <w:b/>
          <w:i w:val="0"/>
          <w:color w:val="1F6FEB"/>
          <w:sz w:val="16"/>
        </w:rPr>
        <w:t xml:space="preserve">EQ15_enq4_v2 </w:t>
      </w:r>
      <w:r>
        <w:rPr>
          <w:b w:val="0"/>
          <w:i w:val="0"/>
          <w:color w:val="64748B"/>
          <w:sz w:val="16"/>
        </w:rPr>
        <w:t xml:space="preserve">sur @@Completed : </w:t>
      </w:r>
      <w:r>
        <w:rPr>
          <w:b w:val="0"/>
          <w:i w:val="0"/>
          <w:sz w:val="17"/>
        </w:rPr>
        <w:t>madame Haby la femme du chef de ménage est une badiénou gokh qui travail 12 mois dans l’année. elle n’a pas de bulletin de salaire ni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