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96-56-67-09</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96-56-67-09</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77 460 21 37</w:t>
            </w:r>
          </w:p>
        </w:tc>
        <w:tc>
          <w:tcPr>
            <w:tcW w:type="dxa" w:w="3551"/>
            <w:shd w:fill="F8FAFC"/>
          </w:tcPr>
          <w:p>
            <w:r>
              <w:rPr>
                <w:b w:val="0"/>
                <w:i w:val="0"/>
                <w:color w:val="64748B"/>
                <w:sz w:val="14"/>
              </w:rPr>
              <w:t>LOCALISATION</w:t>
              <w:br/>
            </w:r>
            <w:r>
              <w:rPr>
                <w:b/>
                <w:i w:val="0"/>
                <w:sz w:val="18"/>
              </w:rPr>
              <w:t>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2026-07-04T12:13:43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SALAMATA NIANG a vécu dans la localité est superieur à son âge (46)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NIANG diffère de celui donné par SALAMATA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BA diffère de celui donné par SOULEYMANE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.6488095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revêtement du sol du logement le/la Ciment/Béton, mais celui du ménage de SOULEYMANE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GALÉ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(175000 Fcfa) de RAMATA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SALAMATA NIANG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SOULEYMANE BA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NIANG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 (2650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(17.85714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 (56000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(6000 Fcfa) au cours de 12 derniers mois de Achat de plaques ou panneaux solaires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5892.26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12762.2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1019.54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2008.38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12599.95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SOULEYMANE BA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BA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12511.12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