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FATOU KA avec une taille de 7 personnes a consommé 4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[2026-07-13 19:27:41] </w:t>
      </w:r>
      <w:r>
        <w:rPr>
          <w:b/>
          <w:i w:val="0"/>
          <w:color w:val="1F6FEB"/>
          <w:sz w:val="16"/>
        </w:rPr>
        <w:t xml:space="preserve">Thimbane_v2 </w:t>
      </w:r>
      <w:r>
        <w:rPr>
          <w:b w:val="0"/>
          <w:i w:val="0"/>
          <w:color w:val="64748B"/>
          <w:sz w:val="16"/>
        </w:rPr>
        <w:t xml:space="preserve">sur @@RejectedBySupervisor : </w:t>
      </w:r>
      <w:r>
        <w:rPr>
          <w:b w:val="0"/>
          <w:i w:val="0"/>
          <w:sz w:val="17"/>
        </w:rPr>
        <w:t>"Merci de renseigner l’emploi secondaire de Tidiane Ka ou de revoir les questions 4.09 à 4.14, puisque vous avez répondu « Oui » à la question 4.11.  Vous avez indiqué que Bassine Ka n’a exercé aucune activité au cours des 7 derniers jours ni des 12 derniers mois, mais vous avez tout de même renseigné un emploi principal. Veuillez vérifier et corriger cette incohérence.  Revoir la question 10.23 (Autre). La réponse doit être choisie dans la liste des modalités.  Revoir les questions 10.46, 10.47, 10.48, 10.49 et 10.51 concernant l’activité de vente de légumes. Revoir la section 18C (Cueillette).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