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adja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bassirou ka 2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bassirou ka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adja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kabir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sahir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absa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adja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(108500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(98500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14:25:27] </w:t>
      </w:r>
      <w:r>
        <w:rPr>
          <w:b/>
          <w:i w:val="0"/>
          <w:color w:val="1F6FEB"/>
          <w:sz w:val="16"/>
        </w:rPr>
        <w:t xml:space="preserve">Thimbane_v2 </w:t>
      </w:r>
      <w:r>
        <w:rPr>
          <w:b w:val="0"/>
          <w:i w:val="0"/>
          <w:color w:val="64748B"/>
          <w:sz w:val="16"/>
        </w:rPr>
        <w:t xml:space="preserve">sur @@RejectedBySupervisor : </w:t>
      </w:r>
      <w:r>
        <w:rPr>
          <w:b w:val="0"/>
          <w:i w:val="0"/>
          <w:sz w:val="17"/>
        </w:rPr>
        <w:t>Il faut revoir la composition du ménage : les catégories « fils » ou « fille » doivent apparaître avant « autre parent ». Vous avez indiqué à la question 4B que Tidiane, Mouhamed et Ibrahima pratiquent l’agriculture. Cependant, dans la section 16A (main-d’œuvre familiale), tous les membres du ménage sont déclarés comme ayant participé aux activités agricoles. Veuillez vérifier cette information. Revoir les questions 9E et 9F. Revoir les questions 10.46, 10.47 et 10.48. Il existe une incohérence entre la question 9C03 (bois de chauffe) et la question 11.44. Revoir la question 16A.24c pour le mil et le maïs. Le ménage déclare avoir acheté 7 sacs de 50 kg, soit 350 kg, alors que 550 kg sont déclarés comme utilisés. Vérifier cette incohérence. Même observation pour le phosphate. Revoir la question 16B.03a concernant le mil et le maïs. Revoir la question 16C.16b concernant le mil. Il existe un écart entre la quantité de mil récoltée et la quantité utilisée. La même incohérence est observée pour le maïs. Revoir les réponses aux questions 17.35, 17.51 et 17.52 concernant les bovins.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