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57-53-99-19</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57-53-99-19</w:t>
            </w:r>
          </w:p>
        </w:tc>
        <w:tc>
          <w:tcPr>
            <w:tcW w:type="dxa" w:w="3551"/>
            <w:shd w:fill="F8FAFC"/>
          </w:tcPr>
          <w:p>
            <w:r>
              <w:rPr>
                <w:b w:val="0"/>
                <w:i w:val="0"/>
                <w:color w:val="64748B"/>
                <w:sz w:val="14"/>
              </w:rPr>
              <w:t>CHEF DE MÉNAGE</w:t>
              <w:br/>
            </w:r>
            <w:r>
              <w:rPr>
                <w:b/>
                <w:i w:val="0"/>
                <w:sz w:val="18"/>
              </w:rPr>
              <w:t>BATHE  SENE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2026-06-13T10:51:42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loum diffère de celui donné par Mbene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bathe sene diffère de celui donné par bathe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sene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BATHE SENE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BATHE SENE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(600 kg) et des quantités en stock (0 kg) diffère de celle de la quantité totale (720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(200 kg) que le ménage a eu après la recolte de Mil.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BATHE SENE a comme taille 6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[2026-06-15 11:27:05]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13:15:16]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[2026-07-12 22:26:12] </w:t>
      </w:r>
      <w:r>
        <w:rPr>
          <w:b/>
          <w:i w:val="0"/>
          <w:color w:val="1F6FEB"/>
          <w:sz w:val="16"/>
        </w:rPr>
        <w:t xml:space="preserve">EQ25_sup_v2 </w:t>
      </w:r>
      <w:r>
        <w:rPr>
          <w:b w:val="0"/>
          <w:i w:val="0"/>
          <w:color w:val="64748B"/>
          <w:sz w:val="16"/>
        </w:rPr>
        <w:t xml:space="preserve">sur @@RejectedBySupervisor : </w:t>
      </w:r>
      <w:r>
        <w:rPr>
          <w:b w:val="0"/>
          <w:i w:val="0"/>
          <w:sz w:val="17"/>
        </w:rPr>
        <w:t>"Invraisemble que Bathie Sene n’a pas utilisé de main doeuvre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