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20-88-69-47</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20-88-69-47</w:t>
            </w:r>
          </w:p>
        </w:tc>
        <w:tc>
          <w:tcPr>
            <w:tcW w:type="dxa" w:w="3551"/>
            <w:shd w:fill="F8FAFC"/>
          </w:tcPr>
          <w:p>
            <w:r>
              <w:rPr>
                <w:b w:val="0"/>
                <w:i w:val="0"/>
                <w:color w:val="64748B"/>
                <w:sz w:val="14"/>
              </w:rPr>
              <w:t>CHEF DE MÉNAGE</w:t>
              <w:br/>
            </w:r>
            <w:r>
              <w:rPr>
                <w:b/>
                <w:i w:val="0"/>
                <w:sz w:val="18"/>
              </w:rPr>
              <w:t>SILMANG MBAYE</w:t>
            </w:r>
          </w:p>
        </w:tc>
      </w:tr>
      <w:tr>
        <w:tc>
          <w:tcPr>
            <w:tcW w:type="dxa" w:w="3551"/>
            <w:shd w:fill="F8FAFC"/>
          </w:tcPr>
          <w:p>
            <w:r>
              <w:rPr>
                <w:b w:val="0"/>
                <w:i w:val="0"/>
                <w:color w:val="64748B"/>
                <w:sz w:val="14"/>
              </w:rPr>
              <w:t>TÉLÉPHONE CM</w:t>
              <w:br/>
            </w:r>
            <w:r>
              <w:rPr>
                <w:b/>
                <w:i w:val="0"/>
                <w:sz w:val="18"/>
              </w:rPr>
              <w:t>77 930 94 27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2026-06-10T16:19:42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MARIE GUEYE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PÉPINIÈRE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4000 FCFA qui semble incoherent, prière de corriger cette incoherenceLe prix de vente d'un kg de  est de 6666.667 FCFA qui semble élevé, prière de verifier le montant tiré de la vente (20000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5000 FCFA qui semble incoherent, prière de corriger cette incoherenceLe prix de vente d'un kg de  est de 13333.33 FCFA qui semble élevé, prière de verifier le montant tiré de la vente (40000 FCFA) de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ABLAYE MBAYE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SILMANG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MOUHAMED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(27200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(53000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(650000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DETAIL DE BONBON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SILMANG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(1000 FCFA pour 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6666.667 FCFA qui semble élevé, prière de verifier le montant tiré de la vente (20000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s16Cq07</w:t>
            </w:r>
          </w:p>
        </w:tc>
        <w:tc>
          <w:tcPr>
            <w:tcW w:type="dxa" w:w="6520"/>
          </w:tcPr>
          <w:p>
            <w:r>
              <w:rPr>
                <w:b w:val="0"/>
                <w:i w:val="0"/>
                <w:sz w:val="17"/>
              </w:rPr>
              <w:t>Incohérence. Le nombre de cultures sur la parcelle (16C.05)  n'est pas concordant avec le système de culture (16C.07)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FATIM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SILMANG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[2026-06-15 10:57:41] </w:t>
      </w:r>
      <w:r>
        <w:rPr>
          <w:b/>
          <w:i w:val="0"/>
          <w:color w:val="1F6FEB"/>
          <w:sz w:val="16"/>
        </w:rPr>
        <w:t xml:space="preserve">EQ26_enq1_v2 </w:t>
      </w:r>
      <w:r>
        <w:rPr>
          <w:b w:val="0"/>
          <w:i w:val="0"/>
          <w:color w:val="64748B"/>
          <w:sz w:val="16"/>
        </w:rPr>
        <w:t xml:space="preserve">sur s16Aq08 : </w:t>
      </w:r>
      <w:r>
        <w:rPr>
          <w:b w:val="0"/>
          <w:i w:val="0"/>
          <w:sz w:val="17"/>
        </w:rPr>
        <w:t>"CARASSOL "</w:t>
      </w:r>
    </w:p>
    <w:p>
      <w:pPr>
        <w:pStyle w:val="ListBullet"/>
      </w:pPr>
      <w:r>
        <w:rPr>
          <w:b w:val="0"/>
          <w:i w:val="0"/>
          <w:color w:val="64748B"/>
          <w:sz w:val="16"/>
        </w:rPr>
        <w:t xml:space="preserve">[2026-06-15 15:19:28] </w:t>
      </w:r>
      <w:r>
        <w:rPr>
          <w:b/>
          <w:i w:val="0"/>
          <w:color w:val="1F6FEB"/>
          <w:sz w:val="16"/>
        </w:rPr>
        <w:t xml:space="preserve">EQ26_enq1_v2 </w:t>
      </w:r>
      <w:r>
        <w:rPr>
          <w:b w:val="0"/>
          <w:i w:val="0"/>
          <w:color w:val="64748B"/>
          <w:sz w:val="16"/>
        </w:rPr>
        <w:t xml:space="preserve">sur s07bq03a_1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