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63-47-06-86</w:t>
      </w:r>
    </w:p>
    <w:p>
      <w:r>
        <w:rPr>
          <w:b w:val="0"/>
          <w:i w:val="0"/>
          <w:color w:val="64748B"/>
          <w:sz w:val="18"/>
        </w:rPr>
        <w:t>Enquêteur : EQ26_enq1_v2 (ALFRED KEITA)  ·  Équipe : EQ26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91204020017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63-47-06-86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77 321 66 22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Diouroup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EQ26_enq1_v2  (ALFRED KEITA)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AMADOU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2026-06-23T09:31:38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ALASSANE DIALLO est Secondaire Technique et Professionnel et le diplôme le plus elevé obtenu par ALASSANE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MAMADOU DIALLO est Secondaire Technique et Professionnel et le diplôme le plus elevé obtenu par MAMADOU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PATHE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SIRE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MAMADOU PATHE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FATOUMATA CAMARA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FATOUMATA CAMARA est de 0, il ne doit pas être égal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estimer le revenu de FATOUMATA CAMARA.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ALASSANE DIALLO (2100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(14.28571 Fcfa) de Piment frais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Serviettes hygiéniques, couches jetables pour bébé, etc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MAMADOU DIALLO, prière de reprendre la section agriculture du ménage MAMADOU DIALLO.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MAMADOU DIALLO vit à FATICK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(2 heures) que MARIAMA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(3 heures) que MAMADOU PATHE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Sachets)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MAMADOU DIALLO ne pratique de l'agriculture, veuillez vous rassurer auprès du repondant l'existence d'un agriculteur au sein du menage et reprendre la section 16.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