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83-13-95-29</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83-13-95-29</w:t>
            </w:r>
          </w:p>
        </w:tc>
        <w:tc>
          <w:tcPr>
            <w:tcW w:type="dxa" w:w="3551"/>
            <w:shd w:fill="F8FAFC"/>
          </w:tcPr>
          <w:p>
            <w:r>
              <w:rPr>
                <w:b w:val="0"/>
                <w:i w:val="0"/>
                <w:color w:val="64748B"/>
                <w:sz w:val="14"/>
              </w:rPr>
              <w:t>CHEF DE MÉNAGE</w:t>
              <w:br/>
            </w:r>
            <w:r>
              <w:rPr>
                <w:b/>
                <w:i w:val="0"/>
                <w:sz w:val="18"/>
              </w:rPr>
              <w:t>PAPE BABACAR DIAGNE</w:t>
            </w:r>
          </w:p>
        </w:tc>
      </w:tr>
      <w:tr>
        <w:tc>
          <w:tcPr>
            <w:tcW w:type="dxa" w:w="3551"/>
            <w:shd w:fill="F8FAFC"/>
          </w:tcPr>
          <w:p>
            <w:r>
              <w:rPr>
                <w:b w:val="0"/>
                <w:i w:val="0"/>
                <w:color w:val="64748B"/>
                <w:sz w:val="14"/>
              </w:rPr>
              <w:t>TÉLÉPHONE CM</w:t>
              <w:br/>
            </w:r>
            <w:r>
              <w:rPr>
                <w:b/>
                <w:i w:val="0"/>
                <w:sz w:val="18"/>
              </w:rPr>
              <w:t>77 329 25 74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2026-06-28T13:28:41</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GUEYE diffère de celui donné par MARIAMA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DIAGNE diffère de celui donné par PAPE BABACAR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SYLLA diffère de celui donné par ROKHY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MBAYE DIAGNE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(1540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KANY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GUEYE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BABACAR DIAGNE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BABACAR DIAGNE (258000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232.2222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232.2222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(21000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346500 FCFA qui semble élevé, prière de verifier le montant tiré de la vente (346500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(1540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OUSMANE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PAPE BABACAR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et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[2026-07-01 12:04:22] </w:t>
      </w:r>
      <w:r>
        <w:rPr>
          <w:b/>
          <w:i w:val="0"/>
          <w:color w:val="1F6FEB"/>
          <w:sz w:val="16"/>
        </w:rPr>
        <w:t xml:space="preserve">EQ29_enq4_v2 </w:t>
      </w:r>
      <w:r>
        <w:rPr>
          <w:b w:val="0"/>
          <w:i w:val="0"/>
          <w:color w:val="64748B"/>
          <w:sz w:val="16"/>
        </w:rPr>
        <w:t xml:space="preserve">sur s16Aa01b : </w:t>
      </w:r>
      <w:r>
        <w:rPr>
          <w:b w:val="0"/>
          <w:i w:val="0"/>
          <w:sz w:val="17"/>
        </w:rPr>
        <w:t>la parcelle d’arachide est un champs à part entiere avec une unique parcelle d’arachide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