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92-95-13-80</w:t>
      </w:r>
    </w:p>
    <w:p>
      <w:r>
        <w:rPr>
          <w:b w:val="0"/>
          <w:i w:val="0"/>
          <w:color w:val="64748B"/>
          <w:sz w:val="18"/>
        </w:rPr>
        <w:t>Enquêteur : EQ30_enq3_v2 (SALIMATOU DIALLO)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92-95-13-80</w:t>
            </w:r>
          </w:p>
        </w:tc>
        <w:tc>
          <w:tcPr>
            <w:tcW w:type="dxa" w:w="3551"/>
            <w:shd w:fill="F8FAFC"/>
          </w:tcPr>
          <w:p>
            <w:r>
              <w:rPr>
                <w:b w:val="0"/>
                <w:i w:val="0"/>
                <w:color w:val="64748B"/>
                <w:sz w:val="14"/>
              </w:rPr>
              <w:t>CHEF DE MÉNAGE</w:t>
              <w:br/>
            </w:r>
            <w:r>
              <w:rPr>
                <w:b/>
                <w:i w:val="0"/>
                <w:sz w:val="18"/>
              </w:rPr>
              <w:t>OUSMANE DIALLO</w:t>
            </w:r>
          </w:p>
        </w:tc>
      </w:tr>
      <w:tr>
        <w:tc>
          <w:tcPr>
            <w:tcW w:type="dxa" w:w="3551"/>
            <w:shd w:fill="F8FAFC"/>
          </w:tcPr>
          <w:p>
            <w:r>
              <w:rPr>
                <w:b w:val="0"/>
                <w:i w:val="0"/>
                <w:color w:val="64748B"/>
                <w:sz w:val="14"/>
              </w:rPr>
              <w:t>TÉLÉPHONE CM</w:t>
              <w:br/>
            </w:r>
            <w:r>
              <w:rPr>
                <w:b/>
                <w:i w:val="0"/>
                <w:sz w:val="18"/>
              </w:rPr>
              <w:t>77 513 44 99</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2026-06-09T11:52:00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DIANG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DIANG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ADJIDIATOU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HASSANA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DIALLO diffère de celui donné par AMINATA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OUSMANE DIALLO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300000 Fcfa avec le type de logement Maison Basse est relativement élevé par rapport aux autres montants observés à KOLDA Urbain..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OUSMANE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DIANG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ASIATOU DANFA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SALIOU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HAWA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HABIBOU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(28800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(3500000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OUSMANE DIALLO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DIALLO pour la main-d'oeuvre non-familiale sur la parcelle Champ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DIALLO pour la main-d'oeuvre non-familiale sur la parcelle Champ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(5000 FCFA pour 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 kg), des quantités offertes (50 kg),  des quantités vendus (800 kg) et des quantités en stock (200 kg) diffère de celle de la quantité totale (1360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(3)</w:t>
      </w:r>
    </w:p>
    <w:p>
      <w:pPr>
        <w:pStyle w:val="ListBullet"/>
      </w:pPr>
      <w:r>
        <w:rPr>
          <w:b w:val="0"/>
          <w:i w:val="0"/>
          <w:color w:val="64748B"/>
          <w:sz w:val="16"/>
        </w:rPr>
        <w:t xml:space="preserve">[2026-06-12 22:32:30] </w:t>
      </w:r>
      <w:r>
        <w:rPr>
          <w:b/>
          <w:i w:val="0"/>
          <w:color w:val="1F6FEB"/>
          <w:sz w:val="16"/>
        </w:rPr>
        <w:t xml:space="preserve">EQ30_enq3_v2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22:02:42] </w:t>
      </w:r>
      <w:r>
        <w:rPr>
          <w:b/>
          <w:i w:val="0"/>
          <w:color w:val="1F6FEB"/>
          <w:sz w:val="16"/>
        </w:rPr>
        <w:t xml:space="preserve">EQ30_enq4_v2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[2026-07-04 13:01:37] </w:t>
      </w:r>
      <w:r>
        <w:rPr>
          <w:b/>
          <w:i w:val="0"/>
          <w:color w:val="1F6FEB"/>
          <w:sz w:val="16"/>
        </w:rPr>
        <w:t xml:space="preserve">EQ30_sup_v2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