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25-75-19-59</w:t>
      </w:r>
    </w:p>
    <w:p>
      <w:r>
        <w:rPr>
          <w:b w:val="0"/>
          <w:i w:val="0"/>
          <w:color w:val="64748B"/>
          <w:sz w:val="18"/>
        </w:rPr>
        <w:t>Enquêteur : EQ7_enq4_v2 (SARA NIANG)  ·  Équipe : EQ7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72203040027</w:t>
            </w:r>
          </w:p>
        </w:tc>
        <w:tc>
          <w:tcPr>
            <w:tcW w:type="dxa" w:w="3551"/>
            <w:shd w:fill="F8FAFC"/>
          </w:tcPr>
          <w:p>
            <w:r>
              <w:rPr>
                <w:b w:val="0"/>
                <w:i w:val="0"/>
                <w:color w:val="64748B"/>
                <w:sz w:val="14"/>
              </w:rPr>
              <w:t>MÉNAGE</w:t>
              <w:br/>
            </w:r>
            <w:r>
              <w:rPr>
                <w:b/>
                <w:i w:val="0"/>
                <w:color w:val="1F6FEB"/>
                <w:sz w:val="18"/>
              </w:rPr>
              <w:t>25-75-19-59</w:t>
            </w:r>
          </w:p>
        </w:tc>
        <w:tc>
          <w:tcPr>
            <w:tcW w:type="dxa" w:w="3551"/>
            <w:shd w:fill="F8FAFC"/>
          </w:tcPr>
          <w:p>
            <w:r>
              <w:rPr>
                <w:b w:val="0"/>
                <w:i w:val="0"/>
                <w:color w:val="64748B"/>
                <w:sz w:val="14"/>
              </w:rPr>
              <w:t>CHEF DE MÉNAGE</w:t>
              <w:br/>
            </w:r>
            <w:r>
              <w:rPr>
                <w:b/>
                <w:i w:val="0"/>
                <w:sz w:val="18"/>
              </w:rPr>
              <w:t>MOR GUEYE</w:t>
            </w:r>
          </w:p>
        </w:tc>
      </w:tr>
      <w:tr>
        <w:tc>
          <w:tcPr>
            <w:tcW w:type="dxa" w:w="3551"/>
            <w:shd w:fill="F8FAFC"/>
          </w:tcPr>
          <w:p>
            <w:r>
              <w:rPr>
                <w:b w:val="0"/>
                <w:i w:val="0"/>
                <w:color w:val="64748B"/>
                <w:sz w:val="14"/>
              </w:rPr>
              <w:t>TÉLÉPHONE CM</w:t>
              <w:br/>
            </w:r>
            <w:r>
              <w:rPr>
                <w:b/>
                <w:i w:val="0"/>
                <w:sz w:val="18"/>
              </w:rPr>
              <w:t>76 466 11 81</w:t>
            </w:r>
          </w:p>
        </w:tc>
        <w:tc>
          <w:tcPr>
            <w:tcW w:type="dxa" w:w="3551"/>
            <w:shd w:fill="F8FAFC"/>
          </w:tcPr>
          <w:p>
            <w:r>
              <w:rPr>
                <w:b w:val="0"/>
                <w:i w:val="0"/>
                <w:color w:val="64748B"/>
                <w:sz w:val="14"/>
              </w:rPr>
              <w:t>LOCALISATION</w:t>
              <w:br/>
            </w:r>
            <w:r>
              <w:rPr>
                <w:b/>
                <w:i w:val="0"/>
                <w:sz w:val="18"/>
              </w:rPr>
              <w:t>DAROU SALAM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EQ7_enq4_v2  (SARA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2026-06-20T11:48:01</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(10)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Tuile qui semble incohérent.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(18),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KHADY DIONE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MOR GUEYE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KHADY DIONE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MOR GUEYE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MOR GUEYE (13500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GUEYE (1500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GUEYE (1500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GUEYE (3500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GUEYE (12500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GUEYE (25000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GUEYE (9500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VENTE DE POISSONS n'a pas fonctionné tout le temps au cours des 12 derniers mois est MANQUE D’INTRANTS ( MATIÈRES PREMIÈRES)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POISSONS est QUAI DE PÈCHE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THIES Urbain ont généralement comme principal matériau du toit le/la Dalle en ciment, mais celui du ménage de MOR GUEYE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THIES Urbain ont généralement comme principal matériau de revêtement du sol du logement le/la Carreaux/Marbre, mais celui du ménage de MOR GUEYE (Ciment/Béton)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MOR GUEYE, prière de reprendre la section agriculture du ménage MOR GUEYE.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Attention ! Le ménage a acheté 1 Ovins (Moutons) à 500000 donc un prix unitaire d'achat (500000 Fcfa) qui  est relativement elevé par rapport aux autres prix observés dans cette zone.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MOR GUEYE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Chef de ménage (n°1) — Dépense de santé de 510 000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GOSS GUEYE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DIONE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s01q02, s02q01__1, s02q02__1, s02q03__1, s02q15, s03q17, s04q28, s04q35d</w:t>
            </w:r>
          </w:p>
        </w:tc>
        <w:tc>
          <w:tcPr>
            <w:tcW w:type="dxa" w:w="6520"/>
          </w:tcPr>
          <w:p>
            <w:r>
              <w:rPr>
                <w:b w:val="0"/>
                <w:i w:val="0"/>
                <w:sz w:val="17"/>
              </w:rPr>
              <w:t>Avertissement!! Le montant des transferts reçu (250000 FCFA) par trimestre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(500000 Fcfa) d'un Ovins (Moutons)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(700000 Fcfa) d'un Ovins (Moutons) est trop petit ou élevé .</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