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ABLAYE NIANE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FAYE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NIANE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marabou praticien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FAYE, prière de reprendre la section agriculture du ménage El HADJI FAYE.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ABLAYE NIANE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(3)</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p>
      <w:pPr>
        <w:pStyle w:val="ListBullet"/>
      </w:pPr>
      <w:r>
        <w:rPr>
          <w:b w:val="0"/>
          <w:i w:val="0"/>
          <w:color w:val="64748B"/>
          <w:sz w:val="16"/>
        </w:rPr>
        <w:t xml:space="preserve">[2026-06-08 16:18:38] </w:t>
      </w:r>
      <w:r>
        <w:rPr>
          <w:b/>
          <w:i w:val="0"/>
          <w:color w:val="1F6FEB"/>
          <w:sz w:val="16"/>
        </w:rPr>
        <w:t xml:space="preserve">EQ8_enq2_v2 </w:t>
      </w:r>
      <w:r>
        <w:rPr>
          <w:b w:val="0"/>
          <w:i w:val="0"/>
          <w:color w:val="64748B"/>
          <w:sz w:val="16"/>
        </w:rPr>
        <w:t xml:space="preserve">sur s07Aq17 : </w:t>
      </w:r>
      <w:r>
        <w:rPr>
          <w:b w:val="0"/>
          <w:i w:val="0"/>
          <w:sz w:val="17"/>
        </w:rPr>
        <w:t>"Dépense en 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