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19 juin 2026</w:t>
      </w:r>
    </w:p>
    <w:p/>
    <w:p>
      <w:r>
        <w:t>À la date du 19 juin 2026, la collecte cumule 1379 ménages sur 114 DR couverts par 35 équipes (135 enquêteurs).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non rattachés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2 : Nombre de ménages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entamés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refus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20,8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1 252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90,8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0,1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52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2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28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1 379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114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1 463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1 286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6 216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4 991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425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11 207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719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6,7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7,8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54,2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46,1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53,9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47,7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52,3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46,8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88,1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79,2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90,6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64,8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35,2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17,9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81,2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18,8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79,1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80,4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27,1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72,7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27,3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82,9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76,6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23,4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11 : Répartition de la population par tranche d'âge (pas de 5 ans) et sexe (%)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Ensemble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59,6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159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18,4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389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75,5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1 379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13 : Taille moyenne du ménage et durée médiane d'interview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 du ménage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EQ35_enq3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89,2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84,5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2 853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3 330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85,7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2 368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2 601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5 221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5 931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45,6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44,7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33,6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64,1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46,9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51,5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38,5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50,9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18,4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48,4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44,8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40,1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70,9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19,7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42,3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48,2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63,7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62,1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19,1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57,5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14,1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6,2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29,4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49,5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48,7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22,3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25,5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53,2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53,1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2,1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13,9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42,7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85,9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65,5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68,3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56,9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43,5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58,3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53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56,7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63,5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97,2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42,1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24,5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45,5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62,1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59,4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86,5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68,9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51,8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95,2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39,1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59,3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81,3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67,8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92,2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53,6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78,9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90,9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67,7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49,3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73,1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62,8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95,8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68,3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76,7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80,2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42,1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95,2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81,3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67,7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23,7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95,8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0,9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4. Questionnaire communautaire</w:t>
      </w:r>
    </w:p>
    <w:p>
      <w:r>
        <w:t>Accès aux services sociaux au niveau de la communauté/village (Phase 2 : communautés enquêtées depuis le 17 mai 2026 ; même questionnaire qu'en Phase 1, données antérieures exclues). Un service est « présent » s'il existe dans la localité.</w:t>
      </w:r>
    </w:p>
    <w:p>
      <w:r>
        <w:rPr>
          <w:b/>
          <w:color w:val="1E293B"/>
          <w:sz w:val="20"/>
        </w:rPr>
        <w:t>Tableau 20 : Accès aux services sociaux par région (communautés)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Communautés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École prim.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Centre santé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Marché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boisson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Route bit.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Services (moy./27)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76,5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68,8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42,9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18,5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13,2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94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73,5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61,7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46,2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47,5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2026-06-20 14:40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