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42-97-12-28</w:t>
      </w:r>
    </w:p>
    <w:p>
      <w:r>
        <w:rPr>
          <w:b w:val="0"/>
          <w:i w:val="0"/>
          <w:color w:val="64748B"/>
          <w:sz w:val="18"/>
        </w:rPr>
        <w:t>Enquêteur : EQ17_enq1_v2 (SANOU DIABOULA)  ·  Équipe : EQ17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133202020005</w:t>
            </w:r>
          </w:p>
        </w:tc>
        <w:tc>
          <w:tcPr>
            <w:tcW w:type="dxa" w:w="3551"/>
            <w:shd w:fill="F8FAFC"/>
          </w:tcPr>
          <w:p>
            <w:r>
              <w:rPr>
                <w:b w:val="0"/>
                <w:i w:val="0"/>
                <w:color w:val="64748B"/>
                <w:sz w:val="14"/>
              </w:rPr>
              <w:t>MÉNAGE</w:t>
              <w:br/>
            </w:r>
            <w:r>
              <w:rPr>
                <w:b/>
                <w:i w:val="0"/>
                <w:color w:val="1F6FEB"/>
                <w:sz w:val="18"/>
              </w:rPr>
              <w:t>42-97-12-28</w:t>
            </w:r>
          </w:p>
        </w:tc>
        <w:tc>
          <w:tcPr>
            <w:tcW w:type="dxa" w:w="3551"/>
            <w:shd w:fill="F8FAFC"/>
          </w:tcPr>
          <w:p>
            <w:r>
              <w:rPr>
                <w:b w:val="0"/>
                <w:i w:val="0"/>
                <w:color w:val="64748B"/>
                <w:sz w:val="14"/>
              </w:rPr>
              <w:t>CHEF DE MÉNAGE</w:t>
              <w:br/>
            </w:r>
            <w:r>
              <w:rPr>
                <w:b/>
                <w:i w:val="0"/>
                <w:sz w:val="18"/>
              </w:rPr>
              <w:t>BABA GALLE CAMARA</w:t>
            </w:r>
          </w:p>
        </w:tc>
      </w:tr>
      <w:tr>
        <w:tc>
          <w:tcPr>
            <w:tcW w:type="dxa" w:w="3551"/>
            <w:shd w:fill="F8FAFC"/>
          </w:tcPr>
          <w:p>
            <w:r>
              <w:rPr>
                <w:b w:val="0"/>
                <w:i w:val="0"/>
                <w:color w:val="64748B"/>
                <w:sz w:val="14"/>
              </w:rPr>
              <w:t>TÉLÉPHONE CM</w:t>
              <w:br/>
            </w:r>
            <w:r>
              <w:rPr>
                <w:b/>
                <w:i w:val="0"/>
                <w:sz w:val="18"/>
              </w:rPr>
              <w:t>78 141 89 13</w:t>
            </w:r>
          </w:p>
        </w:tc>
        <w:tc>
          <w:tcPr>
            <w:tcW w:type="dxa" w:w="3551"/>
            <w:shd w:fill="F8FAFC"/>
          </w:tcPr>
          <w:p>
            <w:r>
              <w:rPr>
                <w:b w:val="0"/>
                <w:i w:val="0"/>
                <w:color w:val="64748B"/>
                <w:sz w:val="14"/>
              </w:rPr>
              <w:t>LOCALISATION</w:t>
              <w:br/>
            </w:r>
            <w:r>
              <w:rPr>
                <w:b/>
                <w:i w:val="0"/>
                <w:sz w:val="18"/>
              </w:rPr>
              <w:t>DOUTA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EQ17_enq1_v2  (SANOU DIABOULA)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2026-06-26T10:23:23</w:t>
            </w:r>
          </w:p>
        </w:tc>
      </w:tr>
    </w:tbl>
    <w:p/>
    <w:p>
      <w:r>
        <w:rPr>
          <w:b/>
          <w:i w:val="0"/>
          <w:color w:val="1F6FEB"/>
          <w:sz w:val="22"/>
        </w:rPr>
        <w:t>⚠ INCOHÉRENCES À CORRIGER (34)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BINTA CAMARA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MAÏMOUNA CAMARA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SAFI CAMARA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BABA GALLÉ CAMARA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FANTA DIALLO diffère de celui donné par FANTA DIALLO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BINTA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MAÏMOUNA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SAFI CAMARA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BABA GALLÉ CAMARA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FANTA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ABDOULAYE CAMARA,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FANTA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(5000 Fcfa) de Viande de bœuf: filet, faux-filet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BABA GALLE CAMARA (215000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 GALLE CAMARA (5000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KEDOUGOU Rural ont généralement comme principal matériau de construction le/la Paille, Banco, motte de terre, mais celui du ménage de BABA GALLE CAMARA (Banco amélioré/ semi-dur)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BABA GALLE CAMARA vit à KEDOUGOU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(98 heures) que BABA GALLÉ CAMARA a consacré à son emploi au cours des 7 derniers jours est trop élevé, veuillez revoir s'il vous plait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BABA GALLE CAMARA ne pratique de l'agriculture, veuillez vous rassurer auprès du repondant l'existence d'un agriculteur au sein du menage et reprendre la section 16.</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