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26-44-42-69</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26-44-42-69</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77 927 23 75</w:t>
            </w:r>
          </w:p>
        </w:tc>
        <w:tc>
          <w:tcPr>
            <w:tcW w:type="dxa" w:w="3551"/>
            <w:shd w:fill="F8FAFC"/>
          </w:tcPr>
          <w:p>
            <w:r>
              <w:rPr>
                <w:b w:val="0"/>
                <w:i w:val="0"/>
                <w:color w:val="64748B"/>
                <w:sz w:val="14"/>
              </w:rPr>
              <w:t>LOCALISATION</w:t>
              <w:br/>
            </w:r>
            <w:r>
              <w:rPr>
                <w:b/>
                <w:i w:val="0"/>
                <w:sz w:val="18"/>
              </w:rPr>
              <w:t>premier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2026-06-27T14:08:18</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sall diffère de celui donné par Aliou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souarè diffère de celui donné par Marie souarè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cheikh sall s'est consulté la première fois pour cette maladie (Fièvre/Paludisme) chez un médecin généraliste et vous dites que  Mame cheikh sall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sall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sall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souarè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souarè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SALL (81000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son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(15000 Fcfa) au cours de 12 derniers mois de Transport inter-urbain en train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[2026-07-01 17:51:50]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