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21-45-94-50</w:t>
      </w:r>
    </w:p>
    <w:p>
      <w:r>
        <w:rPr>
          <w:b w:val="0"/>
          <w:i w:val="0"/>
          <w:color w:val="64748B"/>
          <w:sz w:val="18"/>
        </w:rPr>
        <w:t>Enquêteur : EQ23_enq1_v2 (SODA FALL)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21-45-94-50</w:t>
            </w:r>
          </w:p>
        </w:tc>
        <w:tc>
          <w:tcPr>
            <w:tcW w:type="dxa" w:w="3551"/>
            <w:shd w:fill="F8FAFC"/>
          </w:tcPr>
          <w:p>
            <w:r>
              <w:rPr>
                <w:b w:val="0"/>
                <w:i w:val="0"/>
                <w:color w:val="64748B"/>
                <w:sz w:val="14"/>
              </w:rPr>
              <w:t>CHEF DE MÉNAGE</w:t>
              <w:br/>
            </w:r>
            <w:r>
              <w:rPr>
                <w:b/>
                <w:i w:val="0"/>
                <w:sz w:val="18"/>
              </w:rPr>
              <w:t>MBAYE GUEYE</w:t>
            </w:r>
          </w:p>
        </w:tc>
      </w:tr>
      <w:tr>
        <w:tc>
          <w:tcPr>
            <w:tcW w:type="dxa" w:w="3551"/>
            <w:shd w:fill="F8FAFC"/>
          </w:tcPr>
          <w:p>
            <w:r>
              <w:rPr>
                <w:b w:val="0"/>
                <w:i w:val="0"/>
                <w:color w:val="64748B"/>
                <w:sz w:val="14"/>
              </w:rPr>
              <w:t>TÉLÉPHONE CM</w:t>
              <w:br/>
            </w:r>
            <w:r>
              <w:rPr>
                <w:b/>
                <w:i w:val="0"/>
                <w:sz w:val="18"/>
              </w:rPr>
              <w:t>77 024 95 28</w:t>
            </w:r>
          </w:p>
        </w:tc>
        <w:tc>
          <w:tcPr>
            <w:tcW w:type="dxa" w:w="3551"/>
            <w:shd w:fill="F8FAFC"/>
          </w:tcPr>
          <w:p>
            <w:r>
              <w:rPr>
                <w:b w:val="0"/>
                <w:i w:val="0"/>
                <w:color w:val="64748B"/>
                <w:sz w:val="14"/>
              </w:rPr>
              <w:t>LOCALISATION</w:t>
              <w:br/>
            </w:r>
            <w:r>
              <w:rPr>
                <w:b/>
                <w:i w:val="0"/>
                <w:sz w:val="18"/>
              </w:rPr>
              <w:t>H1 GORIA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2026-06-03T17:20:32</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GUEYE diffère de celui donné par MBAYE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NDIAYE diffère de celui donné par SOKHNA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SOKHNA NDIAYE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KAFFRINE Rural ont généralement comme principal matériau du toit le/la Paille, mais celui du ménage de MBAYE GUEYE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 kg),  des quantités vendus (540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SOKHNA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SOKHNA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SOKHNA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Citron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Semoule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TOUBA KHADAMA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(4500 Fcfa) au cours de 30 derniers jours de Frais de coiffure homme et femme (salon, tressage, mèches, coupe, etc.), manucure, pédicure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COMMERCE DE BETAIL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BETAIL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BETAIL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revêtement du sol du logement le/la Terre battue/Sable, mais celui du ménage de MBAYE GUEYE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4050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4949.36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4050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(17) non membre du ménage de MBAYE GUEYE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21479.51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(8100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-Fongicides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135000 FCFA qui semble élevé, prière de verifier le montant tiré de la vente (135000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 kg),  des quantités vendus (540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7500 FCFA qui semble élevé, prière de verifier le montant tiré de la vente (15000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(600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11250 FCFA qui semble élevé, prière de verifier le montant tiré de la vente (22500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GUEYE SOKHNA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MBAYE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SOKHNA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(500000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[2026-06-12 16:15:44] </w:t>
      </w:r>
      <w:r>
        <w:rPr>
          <w:b/>
          <w:i w:val="0"/>
          <w:color w:val="1F6FEB"/>
          <w:sz w:val="16"/>
        </w:rPr>
        <w:t xml:space="preserve">EQ23_sup_v2 </w:t>
      </w:r>
      <w:r>
        <w:rPr>
          <w:b w:val="0"/>
          <w:i w:val="0"/>
          <w:color w:val="64748B"/>
          <w:sz w:val="16"/>
        </w:rPr>
        <w:t xml:space="preserve">sur @@RejectedBySupervisor : </w:t>
      </w:r>
      <w:r>
        <w:rPr>
          <w:b w:val="0"/>
          <w:i w:val="0"/>
          <w:sz w:val="17"/>
        </w:rPr>
        <w:t>16A.44 n a pas été rendeigner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