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46-83-53-15</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46-83-53-15</w:t>
            </w:r>
          </w:p>
        </w:tc>
        <w:tc>
          <w:tcPr>
            <w:tcW w:type="dxa" w:w="3551"/>
            <w:shd w:fill="F8FAFC"/>
          </w:tcPr>
          <w:p>
            <w:r>
              <w:rPr>
                <w:b w:val="0"/>
                <w:i w:val="0"/>
                <w:color w:val="64748B"/>
                <w:sz w:val="14"/>
              </w:rPr>
              <w:t>CHEF DE MÉNAGE</w:t>
              <w:br/>
            </w:r>
            <w:r>
              <w:rPr>
                <w:b/>
                <w:i w:val="0"/>
                <w:sz w:val="18"/>
              </w:rPr>
              <w:t>IDRISSA DIA</w:t>
            </w:r>
          </w:p>
        </w:tc>
      </w:tr>
      <w:tr>
        <w:tc>
          <w:tcPr>
            <w:tcW w:type="dxa" w:w="3551"/>
            <w:shd w:fill="F8FAFC"/>
          </w:tcPr>
          <w:p>
            <w:r>
              <w:rPr>
                <w:b w:val="0"/>
                <w:i w:val="0"/>
                <w:color w:val="64748B"/>
                <w:sz w:val="14"/>
              </w:rPr>
              <w:t>TÉLÉPHONE CM</w:t>
              <w:br/>
            </w:r>
            <w:r>
              <w:rPr>
                <w:b/>
                <w:i w:val="0"/>
                <w:sz w:val="18"/>
              </w:rPr>
              <w:t>77 153 87 33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2026-06-29T11:41:20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KARIM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IDRISSA DIA diffère de celui donné par IDRISSA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 diffère de celui donné par NDEYE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KARIM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DIA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montant(26140 FCFA) des dépenses pour chaque visite prénatale de FATOU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IDRISSA DIA avec une taille de 9 personnes a consommé 2 Sachets en Petit de Niébé/Haricots secs qui est relativement élevé comme consommation par rapport à la condition de vie des autres ménages de même taille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IDRISSA DIA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IDRISSA DIA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DIA fréquente 4ème année de Primaire mais ne sait pas écrire, prière de vérifier auprès de MAME DIARRA DIA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IDRISSA DIA a comme taille 9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[2026-06-29 13:10:14] </w:t>
      </w:r>
      <w:r>
        <w:rPr>
          <w:b/>
          <w:i w:val="0"/>
          <w:color w:val="1F6FEB"/>
          <w:sz w:val="16"/>
        </w:rPr>
        <w:t xml:space="preserve">EQ3_enq3_v2 </w:t>
      </w:r>
      <w:r>
        <w:rPr>
          <w:b w:val="0"/>
          <w:i w:val="0"/>
          <w:color w:val="64748B"/>
          <w:sz w:val="16"/>
        </w:rPr>
        <w:t xml:space="preserve">sur s02q21 : </w:t>
      </w:r>
      <w:r>
        <w:rPr>
          <w:b w:val="0"/>
          <w:i w:val="0"/>
          <w:sz w:val="17"/>
        </w:rPr>
        <w:t>l’uniforme est compris dans l’inscription</w:t>
      </w:r>
    </w:p>
    <w:p>
      <w:pPr>
        <w:pStyle w:val="ListBullet"/>
      </w:pPr>
      <w:r>
        <w:rPr>
          <w:b w:val="0"/>
          <w:i w:val="0"/>
          <w:color w:val="64748B"/>
          <w:sz w:val="16"/>
        </w:rPr>
        <w:t xml:space="preserve">[2026-06-29 13:14:36] </w:t>
      </w:r>
      <w:r>
        <w:rPr>
          <w:b/>
          <w:i w:val="0"/>
          <w:color w:val="1F6FEB"/>
          <w:sz w:val="16"/>
        </w:rPr>
        <w:t xml:space="preserve">EQ3_enq3_v2 </w:t>
      </w:r>
      <w:r>
        <w:rPr>
          <w:b w:val="0"/>
          <w:i w:val="0"/>
          <w:color w:val="64748B"/>
          <w:sz w:val="16"/>
        </w:rPr>
        <w:t xml:space="preserve">sur s02q14 : </w:t>
      </w:r>
      <w:r>
        <w:rPr>
          <w:b w:val="0"/>
          <w:i w:val="0"/>
          <w:sz w:val="17"/>
        </w:rPr>
        <w:t>"drépanocytaire, il tombait souvent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