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75-49-77-24</w:t>
      </w:r>
    </w:p>
    <w:p>
      <w:r>
        <w:rPr>
          <w:b w:val="0"/>
          <w:i w:val="0"/>
          <w:color w:val="64748B"/>
          <w:sz w:val="18"/>
        </w:rPr>
        <w:t>Enquêteur : EQ4_enq1_v2 (HÉLÈNE SOW NDIAYE)  ·  Équipe : EQ4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12301310012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75-49-77-24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AWA THIAW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78 529 27 96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EQ4_enq1_v2  (HÉLÈNE SOW NDIAYE)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2026-06-21T13:36:06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awa thiaw diffère de celui donné par awa thiaw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serigne khadim niang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awa thiaw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awa thiao (15300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(1700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Charbon de bois/Charbon minéral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vidangeur camion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(6000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(12500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(15000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type de local l'activité s'exerce blanchisseuse : lave le linge a la main est a domicile et aux domiciles des clients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entreprise 1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de revêtement du sol du logement le/la Carreaux/Marbre, mais celui du ménage de awa thiao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awa thiao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[2026-06-21 13:38:42] </w:t>
      </w:r>
      <w:r>
        <w:rPr>
          <w:b/>
          <w:i w:val="0"/>
          <w:color w:val="1F6FEB"/>
          <w:sz w:val="16"/>
        </w:rPr>
        <w:t xml:space="preserve">EQ4_enq1_v2 </w:t>
      </w:r>
      <w:r>
        <w:rPr>
          <w:b w:val="0"/>
          <w:i w:val="0"/>
          <w:color w:val="64748B"/>
          <w:sz w:val="16"/>
        </w:rPr>
        <w:t xml:space="preserve">sur s00q10 : </w:t>
      </w:r>
      <w:r>
        <w:rPr>
          <w:b w:val="0"/>
          <w:i w:val="0"/>
          <w:sz w:val="17"/>
        </w:rPr>
        <w:t>c’est ce qui est sursa carte d’identité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