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58-84-60-72</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58-84-60-72</w:t>
            </w:r>
          </w:p>
        </w:tc>
        <w:tc>
          <w:tcPr>
            <w:tcW w:type="dxa" w:w="3551"/>
            <w:shd w:fill="F8FAFC"/>
          </w:tcPr>
          <w:p>
            <w:r>
              <w:rPr>
                <w:b w:val="0"/>
                <w:i w:val="0"/>
                <w:color w:val="64748B"/>
                <w:sz w:val="14"/>
              </w:rPr>
              <w:t>CHEF DE MÉNAGE</w:t>
              <w:br/>
            </w:r>
            <w:r>
              <w:rPr>
                <w:b/>
                <w:i w:val="0"/>
                <w:sz w:val="18"/>
              </w:rPr>
              <w:t>RAMATOULAYE THIANDOUME</w:t>
            </w:r>
          </w:p>
        </w:tc>
      </w:tr>
      <w:tr>
        <w:tc>
          <w:tcPr>
            <w:tcW w:type="dxa" w:w="3551"/>
            <w:shd w:fill="F8FAFC"/>
          </w:tcPr>
          <w:p>
            <w:r>
              <w:rPr>
                <w:b w:val="0"/>
                <w:i w:val="0"/>
                <w:color w:val="64748B"/>
                <w:sz w:val="14"/>
              </w:rPr>
              <w:t>TÉLÉPHONE CM</w:t>
              <w:br/>
            </w:r>
            <w:r>
              <w:rPr>
                <w:b/>
                <w:i w:val="0"/>
                <w:sz w:val="18"/>
              </w:rPr>
              <w:t>77 729 95 28</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2026-06-29T12:53:48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montant(600000 FCFA) des dépenses liées à l'accouchement de KATY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 FCFA) des dépenses pour chaque visite prénatale de KATY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Gueye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(17500 Fcfa) au cours de 12 derniers mois de Réparation de meubles (fauteuils, chaises, lits,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