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4748B"/>
          <w:sz w:val="22"/>
        </w:rPr>
        <w:t>ANSD · EHCVM3 — Sénégal</w:t>
      </w:r>
    </w:p>
    <w:p>
      <w:pPr>
        <w:pStyle w:val="Title"/>
      </w:pPr>
      <w:r>
        <w:rPr>
          <w:color w:val="1F6FEB"/>
        </w:rPr>
        <w:t>Rapport de Suivi du VOLET MÉNAGE</w:t>
      </w:r>
    </w:p>
    <w:p>
      <w:pPr>
        <w:jc w:val="center"/>
      </w:pPr>
      <w:r>
        <w:rPr>
          <w:i/>
          <w:sz w:val="20"/>
        </w:rPr>
        <w:t>Situation au 7 juillet 2026</w:t>
      </w:r>
    </w:p>
    <w:p/>
    <w:p>
      <w:r>
        <w:t>À la date du 7 juillet 2026, la collecte cumule 2435 ménages collectés (dont 2215 valides) par 35 équipes (142 enquêteurs).</w:t>
      </w:r>
    </w:p>
    <w:p>
      <w:r>
        <w:rPr>
          <w:b/>
          <w:color w:val="1F6FEB"/>
        </w:rPr>
        <w:t xml:space="preserve">Progression globale : </w:t>
      </w:r>
      <w:r>
        <w:rPr>
          <w:b/>
        </w:rPr>
        <w:t>2215 / 4212 ménages valides (52.6 %)  ·  201 / 351 DR couverts (57.3 %).</w:t>
      </w:r>
    </w:p>
    <w:p>
      <w:pPr>
        <w:pStyle w:val="Heading1"/>
      </w:pPr>
      <w:r>
        <w:rPr>
          <w:color w:val="1F6FEB"/>
        </w:rPr>
        <w:t>1. Indicateurs de qualité de la collecte</w:t>
      </w:r>
    </w:p>
    <w:p>
      <w:r>
        <w:rPr>
          <w:b/>
          <w:color w:val="1E293B"/>
          <w:sz w:val="20"/>
        </w:rPr>
        <w:t>Tableau 1 : Nombre de DR entamés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attendus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entamés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Progression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45,5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2026-07-07</w:t>
      </w:r>
    </w:p>
    <w:p>
      <w:r>
        <w:rPr>
          <w:b/>
          <w:color w:val="1E293B"/>
          <w:sz w:val="20"/>
        </w:rPr>
        <w:t>Tableau 2 : Nombre de ménages entamés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entamés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refus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clôturés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attendus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Progression (%)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71,7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65,8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64,2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60,8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59,2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59,2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58,3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56,7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56,7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55,8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55,8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55,8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53,3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53,3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53,3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53,3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53,3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52,5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51,7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50,8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50,8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49,2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49,2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49,2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49,2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47,5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46,7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45,5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40,8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40,8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40,8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2026-07-07</w:t>
      </w:r>
    </w:p>
    <w:p>
      <w:r>
        <w:rPr>
          <w:b/>
          <w:color w:val="1E293B"/>
          <w:sz w:val="20"/>
        </w:rPr>
        <w:t>Tableau 3 : Situation de la collecte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Pourcentage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Ménage valide / renseigné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2 215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Ménage non valide / à compléter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218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0,1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2026-07-07</w:t>
      </w:r>
    </w:p>
    <w:p>
      <w:r>
        <w:rPr>
          <w:b/>
          <w:color w:val="1E293B"/>
          <w:sz w:val="20"/>
        </w:rPr>
        <w:t>Tableau 4 : Rythme de collecte — ménages collectés par équipe (+ évolution quotidienne)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Part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87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87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6"/>
        </w:rPr>
        <w:t>Sources : ANSD, EHCVM3, snapshot du 2026-07-07</w:t>
      </w:r>
    </w:p>
    <w:p>
      <w:r>
        <w:rPr>
          <w:b/>
          <w:color w:val="1E293B"/>
          <w:sz w:val="20"/>
        </w:rPr>
        <w:t>Tableau 5 : Couverture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couverts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équipes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521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205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163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170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1 391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111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35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1 044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89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31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2 435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199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35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2026-07-07</w:t>
      </w:r>
    </w:p>
    <w:p>
      <w:pPr>
        <w:pStyle w:val="Heading1"/>
      </w:pPr>
      <w:r>
        <w:rPr>
          <w:color w:val="1F6FEB"/>
        </w:rPr>
        <w:t>2. Indicateurs de qualité des données</w:t>
      </w:r>
    </w:p>
    <w:p>
      <w:r>
        <w:rPr>
          <w:b/>
          <w:color w:val="1E293B"/>
          <w:sz w:val="20"/>
        </w:rPr>
        <w:t>Tableau 6 : Proportion de visiteurs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Membres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visiteurs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464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631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846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748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592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718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454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573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484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355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784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488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485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579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518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529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782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589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477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722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370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487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659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678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731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735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741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447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782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421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457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478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2026-07-07</w:t>
      </w:r>
    </w:p>
    <w:p>
      <w:r>
        <w:rPr>
          <w:b/>
          <w:color w:val="1E293B"/>
          <w:sz w:val="20"/>
        </w:rPr>
        <w:t>Tableau 7 : Proportion de visiteurs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Membres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visiteurs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2 684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1 904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1 450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1 385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1 540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1 373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1 172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1 053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1 081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1 267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1 537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2 038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917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1 039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5,4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10 145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575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5,7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10 295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750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7,3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20 440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1 325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6,5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2026-07-07</w:t>
      </w:r>
    </w:p>
    <w:p>
      <w:r>
        <w:rPr>
          <w:b/>
          <w:color w:val="1E293B"/>
          <w:sz w:val="20"/>
        </w:rPr>
        <w:t>Tableau 8 : Taille moyenne des ménages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432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Taille moyenne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5,8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9,9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10,4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10,7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10,8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7,8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9,8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8,5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11,1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8,3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12,4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12,3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8,7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7,5</w:t>
            </w:r>
          </w:p>
        </w:tc>
      </w:tr>
      <w:tr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8,0</w:t>
            </w:r>
          </w:p>
        </w:tc>
      </w:tr>
      <w:tr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10,3</w:t>
            </w:r>
          </w:p>
        </w:tc>
      </w:tr>
      <w:tr>
        <w:tc>
          <w:tcPr>
            <w:tcW w:type="dxa" w:w="432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432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9,0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2026-07-07</w:t>
      </w:r>
    </w:p>
    <w:p>
      <w:r>
        <w:rPr>
          <w:b/>
          <w:color w:val="1E293B"/>
          <w:sz w:val="20"/>
        </w:rPr>
        <w:t>Tableau 9 : Proportion d'hommes et de femmes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 (%)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47,1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52,9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46,3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53,7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46,8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53,2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46,5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53,5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44,8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55,2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50,3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49,7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47,9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52,1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44,4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55,6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46,4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53,6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48,3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51,7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46,9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53,1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46,9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53,1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47,8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52,2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45,8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54,2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47,9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52,1</w:t>
            </w:r>
          </w:p>
        </w:tc>
      </w:tr>
      <w:tr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46,9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53,1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2026-07-07</w:t>
      </w:r>
    </w:p>
    <w:p>
      <w:r>
        <w:rPr>
          <w:b/>
          <w:color w:val="1E293B"/>
          <w:sz w:val="20"/>
        </w:rPr>
        <w:t>Tableau 10 : Sexe du chef de ménage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CM hommes (%)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CM femmes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68,9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31,1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73,6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26,4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86,2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13,8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83,7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16,3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80,7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19,3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87,4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77,3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78,4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21,6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87,9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82,5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17,5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89,5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72,7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27,3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72,4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27,6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84,6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15,4</w:t>
            </w:r>
          </w:p>
        </w:tc>
      </w:tr>
      <w:tr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77,8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22,2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2026-07-07</w:t>
      </w:r>
    </w:p>
    <w:p>
      <w:r>
        <w:rPr>
          <w:b/>
          <w:color w:val="1E293B"/>
          <w:sz w:val="20"/>
        </w:rPr>
        <w:t>Tableau 11 : Répartition de la population par tranche d'âge (pas de 5 ans) et sexe (%)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Tranche d'âge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Ensemble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0-4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5-9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13,9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10-14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15-19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20-24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25-29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30-34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35-39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40-44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45-49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50-54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55-59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60-64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65-69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70-74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75-79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80+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0,9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10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6"/>
        </w:rPr>
        <w:t>Sources : ANSD, EHCVM3, snapshot du 2026-07-07</w:t>
      </w:r>
    </w:p>
    <w:p>
      <w:r>
        <w:rPr>
          <w:b/>
          <w:color w:val="1E293B"/>
          <w:sz w:val="20"/>
        </w:rPr>
        <w:t>Tableau 12 : Proportion de ménages agricoles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agricoles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521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205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34,6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51,4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62,9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59,1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38,1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64,5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38,9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66,3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163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47,2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72,2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170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61,2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36,4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62,8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1 391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235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16,9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1 044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776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74,3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2 435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1 011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41,5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2026-07-07</w:t>
      </w:r>
    </w:p>
    <w:p>
      <w:r>
        <w:rPr>
          <w:b/>
          <w:color w:val="1E293B"/>
          <w:sz w:val="20"/>
        </w:rPr>
        <w:t>Tableau 13 : Taille moyenne du ménage et durée médiane d'interview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Taille moyenne du ménage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Durée médiane (h)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14,5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10,9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6,1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5,2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2026-07-07</w:t>
      </w:r>
    </w:p>
    <w:p>
      <w:r>
        <w:rPr>
          <w:b/>
          <w:color w:val="1E293B"/>
          <w:sz w:val="20"/>
        </w:rPr>
        <w:t>Tableau 14 : Sections non remplies par enquêteur (nb de ménages concernés)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Enquêteur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S02 (éduc.)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S03 (santé)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S04 (emploi)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S10 (entr.)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EQ17_enq2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EQ17_enq3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EQ23_enq4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EQ28_enq4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EQ12_enq1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EQ19_enq3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EQ35_enq3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EQ11_enq4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EQ29_enq3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EQ4_enq1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EQ2_enq5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EQ6_enq3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EQ3_enq5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EQ29_enq1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EQ5_enq4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EQ7_enq2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EQ30_enq1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EQ26_enq1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EQ24_enq1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EQ4_enq3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EQ13_enq2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EQ8_enq3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EQ34_enq3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EQ34_enq1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EQ8_enq2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EQ7_enq1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EQ4_enq2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EQ9_enq1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EQ26_enq4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EQ25_enq2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EQ22_enq3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EQ24_enq2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EQ24_enq3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EQ20_enq3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EQ10_enq3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EQ10_enq2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EQ13_enq1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EQ24_enq4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EQ23_enq3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EQ6_enq1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EQ25_enq4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EQ29_enq4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EQ1_enq5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EQ5_enq2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EQ26_enq3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EQ14_enq3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EQ11_enq2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EQ17_enq1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EQ19_enq2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EQ20_enq1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EQ6_enq2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EQ5_enq5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EQ35_enq1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EQ15_enq1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EQ20_enq4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EQ19_enq4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EQ30_enq2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EQ26_enq2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EQ23_enq2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EQ27_enq3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EQ2_enq6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EQ28_enq2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EQ28_enq3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EQ29_enq2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EQ6_enq4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EQ9_enq4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EQ4_enq5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EQ31_enq4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EQ32_enq3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EQ32_enq2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EQ35_enq2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EQ12_enq2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EQ13_enq3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EQ11_enq3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EQ10_enq1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EQ21_enq3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EQ28_enq1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EQ27_enq1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EQ33_enq4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EQ33_enq2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2026-07-07</w:t>
      </w:r>
    </w:p>
    <w:p>
      <w:r>
        <w:rPr>
          <w:b/>
          <w:color w:val="1E293B"/>
          <w:sz w:val="20"/>
        </w:rPr>
        <w:t>Tableau 15 : Ratio de masculinité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Ratio (H/F ×100)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1 254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1 407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89,1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881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1 023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86,1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678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772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87,8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627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721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686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845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81,2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690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682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101,2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561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463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565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81,9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480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79,9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585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677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86,4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742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795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93,3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955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1 083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88,2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430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487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88,3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496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541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91,7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4 617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5 461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84,5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4 911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5 348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91,8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9 528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10 809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88,1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2026-07-07</w:t>
      </w:r>
    </w:p>
    <w:p>
      <w:pPr>
        <w:pStyle w:val="Heading1"/>
      </w:pPr>
      <w:r>
        <w:rPr>
          <w:color w:val="1F6FEB"/>
        </w:rPr>
        <w:t>3. Indicateurs clés</w:t>
      </w:r>
    </w:p>
    <w:p>
      <w:r>
        <w:t>Indicateurs calculés sur les données harmonisées (mêmes définitions que la plateforme). BIT = au sens du Bureau international du travail ; ENES = au sens national (chômage élargi : sans emploi et disponible, recherche non exigée).</w:t>
      </w:r>
    </w:p>
    <w:p>
      <w:r>
        <w:rPr>
          <w:b/>
          <w:color w:val="1E293B"/>
          <w:sz w:val="20"/>
        </w:rPr>
        <w:t>Tableau 16 : Emploi — population de 15 ans et plus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Taux d'activité BIT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Taux d'emploi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Chômage BIT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Chômage ENES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Aide familial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NEET 15-24 (%)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61,6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59,2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22,6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51,9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51,7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14,7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36,3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60,9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60,7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14,6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30,4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31,7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47,9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31,4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19,1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49,7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47,8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3,8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30,3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30,1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59,6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10,4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14,5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55,6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55,3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14,7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38,8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53,5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52,9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13,1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11,6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46,2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39,3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38,4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28,1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10,8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47,6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55,3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54,9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18,8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11,6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43,3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66,5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0,8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13,5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41,1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27,5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43,1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42,3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24,2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24,6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46,1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61,4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11,6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2,8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28,9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60,5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14,6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13,4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22,9</w:t>
            </w:r>
          </w:p>
        </w:tc>
      </w:tr>
      <w:tr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58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56,5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2,5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14,1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8,3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29,4</w:t>
            </w:r>
          </w:p>
        </w:tc>
      </w:tr>
      <w:tr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52,1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51,5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1,3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21,3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27,4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46,4</w:t>
            </w:r>
          </w:p>
        </w:tc>
      </w:tr>
      <w:tr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55,3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54,2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17,5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17,3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37,7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2026-07-07</w:t>
      </w:r>
    </w:p>
    <w:p>
      <w:r>
        <w:rPr>
          <w:b/>
          <w:color w:val="1E293B"/>
          <w:sz w:val="20"/>
        </w:rPr>
        <w:t>Tableau 17 : Éducation &amp; santé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Alphabétisation 15+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Fréq. scolaire 6-16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Recours aux soins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77,1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79,5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62,4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49,6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47,3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54,3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58,3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66,1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54,9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52,4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36,5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53,7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51,6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78,7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53,8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37,2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40,4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56,4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40,4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54,5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57,7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60,8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47,5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74,3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51,8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55,4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56,7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65,4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76,8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49,1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94,8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66,2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66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70,8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56,3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45,9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54,9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52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56,6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62,2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54,3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2026-07-07</w:t>
      </w:r>
    </w:p>
    <w:p>
      <w:r>
        <w:rPr>
          <w:b/>
          <w:color w:val="1E293B"/>
          <w:sz w:val="20"/>
        </w:rPr>
        <w:t>Tableau 18 : Cadre de vie &amp; protection sociale (ménages)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Eau améliorée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Électricité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Propriétaires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Protection sociale (%)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82,4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43,7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22,5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90,1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41,3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56,8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71,2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87,8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47,3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95,3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63,3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94,5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60,7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83,6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76,9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85,6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72,1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65,7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76,7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52,7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48,7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73,5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92,3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89,3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91,7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66,9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42,3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86,6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62,9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91,8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88,2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92,8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77,6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90,8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35,5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63,9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80,3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84,4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83,8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91,5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82,4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67,7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93,3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94,3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88,6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37,8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62,8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82,5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79,6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82,6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77,2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91,2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66,2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48,2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78,2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60,7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94,7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62,5</w:t>
            </w:r>
          </w:p>
        </w:tc>
      </w:tr>
      <w:tr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77,6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77,6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78,8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54,7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2026-07-07</w:t>
      </w:r>
    </w:p>
    <w:p>
      <w:r>
        <w:rPr>
          <w:b/>
          <w:color w:val="1E293B"/>
          <w:sz w:val="20"/>
        </w:rPr>
        <w:t>Tableau 19 : Statut d'occupation du logement (s11q04)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Propriétaire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Locataire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Logé (gratuit/employeur)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Autre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43,7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48,9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2,3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90,1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87,8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94,5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1,6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1,5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76,7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15,7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0,6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92,3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0,8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91,8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90,8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84,4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82,4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1,8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88,6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79,6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13,1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0,7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66,2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26,2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6,2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1,4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94,7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1,7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2,6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0,9</w:t>
            </w:r>
          </w:p>
        </w:tc>
      </w:tr>
      <w:tr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78,8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15,3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4,6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1,2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2026-07-07</w:t>
      </w:r>
    </w:p>
    <w:p>
      <w:pPr>
        <w:pStyle w:val="Heading1"/>
      </w:pPr>
      <w:r>
        <w:rPr>
          <w:color w:val="1F6FEB"/>
        </w:rPr>
        <w:t>4. Questionnaire communautaire</w:t>
      </w:r>
    </w:p>
    <w:p>
      <w:r>
        <w:t>Accès aux services sociaux au niveau de la communauté/village (Phase 2 : communautés enquêtées depuis le 17 mai 2026 ; même questionnaire qu'en Phase 1, données antérieures exclues). Un service est « présent » s'il existe dans la localité.</w:t>
      </w:r>
    </w:p>
    <w:p>
      <w:r>
        <w:rPr>
          <w:b/>
          <w:color w:val="1E293B"/>
          <w:sz w:val="20"/>
        </w:rPr>
        <w:t>Tableau 20 : Accès aux services sociaux par région (communautés)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Communautés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École prim.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Centre santé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Marché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Eau boisson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Route bit.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Services (moy./27)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96,6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82,1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74,1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54,2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53,8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12,8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69,2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69,2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53,8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46,2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61,5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8,3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87,5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62,5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14,9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55,6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33,3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11,1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33,3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7,1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63,6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81,8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44,4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11,5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90,9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63,6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54,5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63,6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36,4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9,4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62,5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37,5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12,5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9,2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37,5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37,5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8,8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83,3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6,2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81,8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72,7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36,4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9,1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9,6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10,8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72,7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45,5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81,8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45,5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85,7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57,1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28,6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28,6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57,1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5,1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77,8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44,4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22,2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33,3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12,3</w:t>
            </w:r>
          </w:p>
        </w:tc>
      </w:tr>
      <w:tr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155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92,6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70,3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58,3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46,8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41,4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10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2026-07-07</w:t>
      </w:r>
    </w:p>
    <w:p>
      <w:pPr>
        <w:jc w:val="center"/>
      </w:pPr>
      <w:r>
        <w:rPr>
          <w:i/>
          <w:color w:val="64748B"/>
          <w:sz w:val="16"/>
        </w:rPr>
        <w:t>Rapport généré automatiquement le 2026-07-07 11:55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