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30 juin 2026</w:t>
      </w:r>
    </w:p>
    <w:p/>
    <w:p>
      <w:r>
        <w:t>À la date du 30 juin 2026, la collecte cumule 2015 ménages collectés (dont 1834 valides) par 35 équipes (137 enquêteurs).</w:t>
      </w:r>
    </w:p>
    <w:p>
      <w:r>
        <w:rPr>
          <w:b/>
          <w:color w:val="1F6FEB"/>
        </w:rPr>
        <w:t xml:space="preserve">Progression globale : </w:t>
      </w:r>
      <w:r>
        <w:rPr>
          <w:b/>
        </w:rPr>
        <w:t>1834 / 4212 ménages valides (43.5 %)  ·  171 / 351 DR couverts (48.7 %).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2 : Nombre de ménages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entamés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refus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144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47,5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44,2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44,2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38,3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38,3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37,9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36,7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35,8</w:t>
            </w:r>
          </w:p>
        </w:tc>
      </w:tr>
      <w:tr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1 834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4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87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1 178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837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30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2 015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169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642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467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440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2 185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1 770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1 064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1 312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1 132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1 037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761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1 091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1 185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1 844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8 613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483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5,6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8 289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683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8,2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16 902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1 166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12,2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10,3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9,0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49,8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45,1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46,4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53,6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52,6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45,9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54,1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48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46,9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67,9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32,1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76,5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67,6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86,4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78,6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21,4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67,4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84,5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76,3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87,6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81,2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18,8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86,1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73,3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72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28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83,9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16,1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77,1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22,9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11 : Répartition de la population par tranche d'âge (pas de 5 ans) et sexe (%)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Ensemble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47,7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66,4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73,1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69,4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62,6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1 178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203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17,2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837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613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73,2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2 015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816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40,5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13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14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EQ13_enq1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EQ25_enq2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EQ10_enq3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EQ26_enq2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EQ13_enq2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EQ19_enq3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EQ31_enq3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EQ14_enq2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EQ25_enq4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15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1 016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1 132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100,9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94,7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83,4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88,7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90,8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984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397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3 933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4 630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84,9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3 952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4 288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92,2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7 885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8 918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88,4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16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57,3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25,9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36,2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23,6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40,4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45,8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33,5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49,1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29,4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54,2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59,1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58,6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13,9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37,6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18,1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48,1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39,3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38,2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56,2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16,6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38,9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45,4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27,7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40,9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24,6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23,5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47,7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30,1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62,4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21,4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56,7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55,4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7,4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31,4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50,3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49,5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21,5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27,3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48,7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53,8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52,7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17,4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16,4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39,6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17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78,2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76,6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41,9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67,4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80,1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94,4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65,2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64,8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69,7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56,7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45,9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55,8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52,2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56,3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62,4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54,6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18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82,4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43,4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23,8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42,3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71,6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51,1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58,1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69,8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49,5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69,7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89,4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58,3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86,5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67,9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80,7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37,3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57,8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78,2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48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61,7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65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77,4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78,6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78,4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55,5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r>
        <w:rPr>
          <w:b/>
          <w:color w:val="1E293B"/>
          <w:sz w:val="20"/>
        </w:rPr>
        <w:t>Tableau 19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43,4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0,9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18,1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94,9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94,4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80,7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11,4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25,9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94,5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0,5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78,4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15,7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4,9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pPr>
        <w:pStyle w:val="Heading1"/>
      </w:pPr>
      <w:r>
        <w:rPr>
          <w:color w:val="1F6FEB"/>
        </w:rPr>
        <w:t>4. Questionnaire communautaire</w:t>
      </w:r>
    </w:p>
    <w:p>
      <w:r>
        <w:t>Accès aux services sociaux au niveau de la communauté/village (Phase 2 : communautés enquêtées depuis le 17 mai 2026 ; même questionnaire qu'en Phase 1, données antérieures exclues). Un service est « présent » s'il existe dans la localité.</w:t>
      </w:r>
    </w:p>
    <w:p>
      <w:r>
        <w:rPr>
          <w:b/>
          <w:color w:val="1E293B"/>
          <w:sz w:val="20"/>
        </w:rPr>
        <w:t>Tableau 20 : Accès aux services sociaux par région (communautés)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Communautés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École prim.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Centre santé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Marché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boisson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Route bit. (%)</w:t>
            </w:r>
          </w:p>
        </w:tc>
        <w:tc>
          <w:tcPr>
            <w:tcW w:type="dxa" w:w="10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Services (moy./27)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79,2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69,6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62,5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57,1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6,4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28,6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10,4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5,8</w:t>
            </w:r>
          </w:p>
        </w:tc>
      </w:tr>
      <w:tr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44,4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22,2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  <w:tc>
          <w:tcPr>
            <w:tcW w:type="dxa" w:w="1080"/>
            <w:shd w:val="clear" w:color="auto" w:fill="F4F8F7"/>
          </w:tcPr>
          <w:p>
            <w:r>
              <w:rPr>
                <w:sz w:val="18"/>
              </w:rPr>
              <w:t>12,3</w:t>
            </w:r>
          </w:p>
        </w:tc>
      </w:tr>
      <w:tr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123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94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71,6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60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48,2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43,8</w:t>
            </w:r>
          </w:p>
        </w:tc>
        <w:tc>
          <w:tcPr>
            <w:tcW w:type="dxa" w:w="10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10,5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2026-06-30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2026-07-07 11:06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